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34" w:rsidRPr="00D908C6" w:rsidRDefault="00E85834" w:rsidP="00756524">
      <w:pPr>
        <w:spacing w:line="240" w:lineRule="auto"/>
        <w:jc w:val="center"/>
        <w:rPr>
          <w:rFonts w:cstheme="minorHAnsi"/>
          <w:b/>
          <w:sz w:val="24"/>
          <w:szCs w:val="24"/>
        </w:rPr>
      </w:pPr>
      <w:proofErr w:type="gramStart"/>
      <w:r w:rsidRPr="00D908C6">
        <w:rPr>
          <w:rFonts w:cstheme="minorHAnsi"/>
          <w:b/>
          <w:sz w:val="24"/>
          <w:szCs w:val="24"/>
        </w:rPr>
        <w:t>CLINICO-PATHOLOGIC STUDY OF CHILDREN/YOUNG ADULTS WITH NEPHROTIC SYNDROME IN PORT HARCOURT, NIGERIA.</w:t>
      </w:r>
      <w:proofErr w:type="gramEnd"/>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BY</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*OBIORAH CHRISTOPHER CHINEDU</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(MBBS, FMCPATH, FICS, FISN)</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**OKORO PHILEMON EKEMENYE</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(MBBS, FWACS, FICS)</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 xml:space="preserve">*DEPT OF ANATHOMCA PATHOLOGY </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AND</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 SURGERY,</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 xml:space="preserve">UNIVERSITY OF PORT HARCOURT TEACHING HOSPITAL </w:t>
      </w:r>
    </w:p>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PORT HARCOURT</w:t>
      </w:r>
    </w:p>
    <w:p w:rsidR="00E85834" w:rsidRPr="00D908C6" w:rsidRDefault="00E85834" w:rsidP="00756524">
      <w:pPr>
        <w:tabs>
          <w:tab w:val="left" w:pos="6810"/>
        </w:tabs>
        <w:spacing w:line="240" w:lineRule="auto"/>
        <w:jc w:val="both"/>
        <w:rPr>
          <w:rFonts w:cstheme="minorHAnsi"/>
          <w:b/>
          <w:sz w:val="24"/>
          <w:szCs w:val="24"/>
        </w:rPr>
      </w:pPr>
      <w:r w:rsidRPr="00D908C6">
        <w:rPr>
          <w:rFonts w:cstheme="minorHAnsi"/>
          <w:sz w:val="24"/>
          <w:szCs w:val="24"/>
        </w:rPr>
        <w:tab/>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i/>
          <w:sz w:val="24"/>
          <w:szCs w:val="24"/>
        </w:rPr>
      </w:pPr>
      <w:r w:rsidRPr="00D908C6">
        <w:rPr>
          <w:rFonts w:cstheme="minorHAnsi"/>
          <w:i/>
          <w:sz w:val="24"/>
          <w:szCs w:val="24"/>
        </w:rPr>
        <w:t>CORRESPONDENCES TO:</w:t>
      </w:r>
    </w:p>
    <w:p w:rsidR="00E85834" w:rsidRPr="00D908C6" w:rsidRDefault="00E85834" w:rsidP="00756524">
      <w:pPr>
        <w:pStyle w:val="NoSpacing"/>
        <w:rPr>
          <w:rFonts w:cstheme="minorHAnsi"/>
          <w:sz w:val="24"/>
          <w:szCs w:val="24"/>
        </w:rPr>
      </w:pPr>
      <w:r w:rsidRPr="00D908C6">
        <w:rPr>
          <w:rFonts w:cstheme="minorHAnsi"/>
          <w:sz w:val="24"/>
          <w:szCs w:val="24"/>
        </w:rPr>
        <w:t xml:space="preserve">DR. </w:t>
      </w:r>
      <w:proofErr w:type="spellStart"/>
      <w:r w:rsidRPr="00D908C6">
        <w:rPr>
          <w:rFonts w:cstheme="minorHAnsi"/>
          <w:sz w:val="24"/>
          <w:szCs w:val="24"/>
        </w:rPr>
        <w:t>Obiorah</w:t>
      </w:r>
      <w:proofErr w:type="spellEnd"/>
      <w:r w:rsidRPr="00D908C6">
        <w:rPr>
          <w:rFonts w:cstheme="minorHAnsi"/>
          <w:sz w:val="24"/>
          <w:szCs w:val="24"/>
        </w:rPr>
        <w:t xml:space="preserve"> C.C</w:t>
      </w:r>
    </w:p>
    <w:p w:rsidR="00E85834" w:rsidRPr="00D908C6" w:rsidRDefault="00E85834" w:rsidP="00756524">
      <w:pPr>
        <w:pStyle w:val="NoSpacing"/>
        <w:rPr>
          <w:rFonts w:cstheme="minorHAnsi"/>
          <w:sz w:val="24"/>
          <w:szCs w:val="24"/>
        </w:rPr>
      </w:pPr>
      <w:r w:rsidRPr="00D908C6">
        <w:rPr>
          <w:rFonts w:cstheme="minorHAnsi"/>
          <w:sz w:val="24"/>
          <w:szCs w:val="24"/>
        </w:rPr>
        <w:t>Department of Anatomical Pathology,</w:t>
      </w:r>
    </w:p>
    <w:p w:rsidR="00E85834" w:rsidRPr="00D908C6" w:rsidRDefault="00E85834" w:rsidP="00756524">
      <w:pPr>
        <w:pStyle w:val="NoSpacing"/>
        <w:rPr>
          <w:rFonts w:cstheme="minorHAnsi"/>
          <w:sz w:val="24"/>
          <w:szCs w:val="24"/>
        </w:rPr>
      </w:pPr>
      <w:r w:rsidRPr="00D908C6">
        <w:rPr>
          <w:rFonts w:cstheme="minorHAnsi"/>
          <w:sz w:val="24"/>
          <w:szCs w:val="24"/>
        </w:rPr>
        <w:t xml:space="preserve">University of Port Harcourt Teaching Hospital, </w:t>
      </w:r>
    </w:p>
    <w:p w:rsidR="00E85834" w:rsidRPr="00D908C6" w:rsidRDefault="00E85834" w:rsidP="00756524">
      <w:pPr>
        <w:pStyle w:val="NoSpacing"/>
        <w:rPr>
          <w:rFonts w:cstheme="minorHAnsi"/>
          <w:sz w:val="24"/>
          <w:szCs w:val="24"/>
        </w:rPr>
      </w:pPr>
      <w:r w:rsidRPr="00D908C6">
        <w:rPr>
          <w:rFonts w:cstheme="minorHAnsi"/>
          <w:sz w:val="24"/>
          <w:szCs w:val="24"/>
        </w:rPr>
        <w:t>Port Harcourt, Nigeria.</w:t>
      </w:r>
    </w:p>
    <w:p w:rsidR="00E85834" w:rsidRPr="00D908C6" w:rsidRDefault="00105263" w:rsidP="00756524">
      <w:pPr>
        <w:pStyle w:val="NoSpacing"/>
        <w:rPr>
          <w:rFonts w:cstheme="minorHAnsi"/>
          <w:sz w:val="24"/>
          <w:szCs w:val="24"/>
        </w:rPr>
      </w:pPr>
      <w:hyperlink r:id="rId7" w:history="1">
        <w:r w:rsidR="00E85834" w:rsidRPr="00D908C6">
          <w:rPr>
            <w:rStyle w:val="Hyperlink"/>
            <w:rFonts w:cstheme="minorHAnsi"/>
            <w:sz w:val="24"/>
            <w:szCs w:val="24"/>
          </w:rPr>
          <w:t>Christopherobiorah@yahoo.com</w:t>
        </w:r>
      </w:hyperlink>
    </w:p>
    <w:p w:rsidR="00E85834" w:rsidRPr="00D908C6" w:rsidRDefault="00E85834" w:rsidP="00756524">
      <w:pPr>
        <w:pStyle w:val="NoSpacing"/>
        <w:rPr>
          <w:rFonts w:cstheme="minorHAnsi"/>
          <w:sz w:val="24"/>
          <w:szCs w:val="24"/>
        </w:rPr>
      </w:pPr>
      <w:r w:rsidRPr="00D908C6">
        <w:rPr>
          <w:rFonts w:cstheme="minorHAnsi"/>
          <w:sz w:val="24"/>
          <w:szCs w:val="24"/>
        </w:rPr>
        <w:t>2347030473512</w:t>
      </w:r>
    </w:p>
    <w:p w:rsidR="00E85834" w:rsidRPr="00D908C6" w:rsidRDefault="00E85834" w:rsidP="00756524">
      <w:pPr>
        <w:spacing w:line="240" w:lineRule="auto"/>
        <w:rPr>
          <w:rFonts w:cstheme="minorHAnsi"/>
          <w:sz w:val="24"/>
          <w:szCs w:val="24"/>
        </w:rPr>
      </w:pPr>
      <w:r w:rsidRPr="00D908C6">
        <w:rPr>
          <w:rFonts w:cstheme="minorHAnsi"/>
          <w:sz w:val="24"/>
          <w:szCs w:val="24"/>
        </w:rPr>
        <w:br w:type="page"/>
      </w:r>
    </w:p>
    <w:p w:rsidR="00E85834" w:rsidRPr="00D908C6" w:rsidRDefault="00E85834" w:rsidP="00756524">
      <w:pPr>
        <w:spacing w:line="240" w:lineRule="auto"/>
        <w:jc w:val="both"/>
        <w:rPr>
          <w:rFonts w:cstheme="minorHAnsi"/>
          <w:i/>
          <w:sz w:val="24"/>
          <w:szCs w:val="24"/>
        </w:rPr>
      </w:pPr>
      <w:r w:rsidRPr="00D908C6">
        <w:rPr>
          <w:rFonts w:cstheme="minorHAnsi"/>
          <w:i/>
          <w:sz w:val="24"/>
          <w:szCs w:val="24"/>
        </w:rPr>
        <w:lastRenderedPageBreak/>
        <w:t>Abstract.</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Background: As renal diseases continue to contribute significantly to the burden of morbidity and mortality in Nigeria, data on </w:t>
      </w:r>
      <w:proofErr w:type="spellStart"/>
      <w:r w:rsidRPr="00D908C6">
        <w:rPr>
          <w:rFonts w:cstheme="minorHAnsi"/>
          <w:sz w:val="24"/>
          <w:szCs w:val="24"/>
        </w:rPr>
        <w:t>clinico</w:t>
      </w:r>
      <w:proofErr w:type="spellEnd"/>
      <w:r w:rsidRPr="00D908C6">
        <w:rPr>
          <w:rFonts w:cstheme="minorHAnsi"/>
          <w:sz w:val="24"/>
          <w:szCs w:val="24"/>
        </w:rPr>
        <w:t xml:space="preserve">-pathologic features of kidney diseases, especially among children remains scanty. This retrospective study evaluated the </w:t>
      </w:r>
      <w:proofErr w:type="spellStart"/>
      <w:r w:rsidRPr="00D908C6">
        <w:rPr>
          <w:rFonts w:cstheme="minorHAnsi"/>
          <w:sz w:val="24"/>
          <w:szCs w:val="24"/>
        </w:rPr>
        <w:t>clinico</w:t>
      </w:r>
      <w:proofErr w:type="spellEnd"/>
      <w:r w:rsidRPr="00D908C6">
        <w:rPr>
          <w:rFonts w:cstheme="minorHAnsi"/>
          <w:sz w:val="24"/>
          <w:szCs w:val="24"/>
        </w:rPr>
        <w:t xml:space="preserve">-pathological findings in children with </w:t>
      </w:r>
      <w:proofErr w:type="spellStart"/>
      <w:r w:rsidRPr="00D908C6">
        <w:rPr>
          <w:rFonts w:cstheme="minorHAnsi"/>
          <w:sz w:val="24"/>
          <w:szCs w:val="24"/>
        </w:rPr>
        <w:t>nephrotic</w:t>
      </w:r>
      <w:proofErr w:type="spellEnd"/>
      <w:r w:rsidRPr="00D908C6">
        <w:rPr>
          <w:rFonts w:cstheme="minorHAnsi"/>
          <w:sz w:val="24"/>
          <w:szCs w:val="24"/>
        </w:rPr>
        <w:t xml:space="preserve"> syndrome in Port Harcourt, Nigeria between 2014 and 2015.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Materials and methods: The demographic/clinical information of the patients and light microscopy of the formalin fixed tissues, sectioned at 3 levels and stained with H&amp; E and special stains were evaluated.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Results: Nineteen patients, comprising 10 (52.6%) females and 9 males (47.4%) underwent percutaneous renal biopsy (PRB) within the period of review. The age range and mean were 1.8 to 21 and 11.0 +- 6.5 years respectively. There was a steady decrease in number of biopsied patients with age below 15 years but above 15 years presented the highest number of cases (36.1%). Eleven of the patients (57.9%) were steroid dependent (SDNS) while 8 cases (42.1%) were steroid resistant (SRNS). Hypertension and </w:t>
      </w:r>
      <w:proofErr w:type="spellStart"/>
      <w:r w:rsidRPr="00D908C6">
        <w:rPr>
          <w:rFonts w:cstheme="minorHAnsi"/>
          <w:sz w:val="24"/>
          <w:szCs w:val="24"/>
        </w:rPr>
        <w:t>hematuria</w:t>
      </w:r>
      <w:proofErr w:type="spellEnd"/>
      <w:r w:rsidRPr="00D908C6">
        <w:rPr>
          <w:rFonts w:cstheme="minorHAnsi"/>
          <w:sz w:val="24"/>
          <w:szCs w:val="24"/>
        </w:rPr>
        <w:t xml:space="preserve"> occurred more in SDNS (63.6% </w:t>
      </w:r>
      <w:proofErr w:type="spellStart"/>
      <w:r w:rsidRPr="00D908C6">
        <w:rPr>
          <w:rFonts w:cstheme="minorHAnsi"/>
          <w:sz w:val="24"/>
          <w:szCs w:val="24"/>
        </w:rPr>
        <w:t>vs</w:t>
      </w:r>
      <w:proofErr w:type="spellEnd"/>
      <w:r w:rsidRPr="00D908C6">
        <w:rPr>
          <w:rFonts w:cstheme="minorHAnsi"/>
          <w:sz w:val="24"/>
          <w:szCs w:val="24"/>
        </w:rPr>
        <w:t xml:space="preserve"> 45.5%) as against (25% </w:t>
      </w:r>
      <w:proofErr w:type="spellStart"/>
      <w:r w:rsidRPr="00D908C6">
        <w:rPr>
          <w:rFonts w:cstheme="minorHAnsi"/>
          <w:sz w:val="24"/>
          <w:szCs w:val="24"/>
        </w:rPr>
        <w:t>vs</w:t>
      </w:r>
      <w:proofErr w:type="spellEnd"/>
      <w:r w:rsidRPr="00D908C6">
        <w:rPr>
          <w:rFonts w:cstheme="minorHAnsi"/>
          <w:sz w:val="24"/>
          <w:szCs w:val="24"/>
        </w:rPr>
        <w:t xml:space="preserve"> 25%) respectively in SRNS. Non-proliferative lesions (NPL) which included minimal change disease (MCD), focal segmental </w:t>
      </w:r>
      <w:proofErr w:type="spellStart"/>
      <w:r w:rsidRPr="00D908C6">
        <w:rPr>
          <w:rFonts w:cstheme="minorHAnsi"/>
          <w:sz w:val="24"/>
          <w:szCs w:val="24"/>
        </w:rPr>
        <w:t>glomerulosclerosis</w:t>
      </w:r>
      <w:proofErr w:type="spellEnd"/>
      <w:r w:rsidRPr="00D908C6">
        <w:rPr>
          <w:rFonts w:cstheme="minorHAnsi"/>
          <w:sz w:val="24"/>
          <w:szCs w:val="24"/>
        </w:rPr>
        <w:t xml:space="preserve"> (FSGS) and collapsing </w:t>
      </w:r>
      <w:proofErr w:type="spellStart"/>
      <w:r w:rsidRPr="00D908C6">
        <w:rPr>
          <w:rFonts w:cstheme="minorHAnsi"/>
          <w:sz w:val="24"/>
          <w:szCs w:val="24"/>
        </w:rPr>
        <w:t>glomerulopathy</w:t>
      </w:r>
      <w:proofErr w:type="spellEnd"/>
      <w:r w:rsidRPr="00D908C6">
        <w:rPr>
          <w:rFonts w:cstheme="minorHAnsi"/>
          <w:sz w:val="24"/>
          <w:szCs w:val="24"/>
        </w:rPr>
        <w:t xml:space="preserve"> (CG) predominated with 11 cases (57.9%) over proliferative lesions (PL), composed of </w:t>
      </w:r>
      <w:proofErr w:type="spellStart"/>
      <w:r w:rsidRPr="00D908C6">
        <w:rPr>
          <w:rFonts w:cstheme="minorHAnsi"/>
          <w:sz w:val="24"/>
          <w:szCs w:val="24"/>
        </w:rPr>
        <w:t>membranoproliferative</w:t>
      </w:r>
      <w:proofErr w:type="spellEnd"/>
      <w:r w:rsidRPr="00D908C6">
        <w:rPr>
          <w:rFonts w:cstheme="minorHAnsi"/>
          <w:sz w:val="24"/>
          <w:szCs w:val="24"/>
        </w:rPr>
        <w:t xml:space="preserve"> glomerulonephritis (MPGN), </w:t>
      </w:r>
      <w:proofErr w:type="spellStart"/>
      <w:r w:rsidRPr="00D908C6">
        <w:rPr>
          <w:rFonts w:cstheme="minorHAnsi"/>
          <w:sz w:val="24"/>
          <w:szCs w:val="24"/>
        </w:rPr>
        <w:t>mesangioproliferative</w:t>
      </w:r>
      <w:proofErr w:type="spellEnd"/>
      <w:r w:rsidRPr="00D908C6">
        <w:rPr>
          <w:rFonts w:cstheme="minorHAnsi"/>
          <w:sz w:val="24"/>
          <w:szCs w:val="24"/>
        </w:rPr>
        <w:t xml:space="preserve"> glomerulonephritis (MSPGN) and MPGN with collapsing </w:t>
      </w:r>
      <w:proofErr w:type="spellStart"/>
      <w:r w:rsidRPr="00D908C6">
        <w:rPr>
          <w:rFonts w:cstheme="minorHAnsi"/>
          <w:sz w:val="24"/>
          <w:szCs w:val="24"/>
        </w:rPr>
        <w:t>glomerulopathy</w:t>
      </w:r>
      <w:proofErr w:type="spellEnd"/>
      <w:r w:rsidRPr="00D908C6">
        <w:rPr>
          <w:rFonts w:cstheme="minorHAnsi"/>
          <w:sz w:val="24"/>
          <w:szCs w:val="24"/>
        </w:rPr>
        <w:t xml:space="preserve"> (MPGN +CG) with 8 cases (42.1%). Among NPL, MCD and FSGS occurred in equal proportions of 4 cases (36.4%) each while CG occurred in 27.2%. The PL were composed majorly of MPGN (62.5%) followed by MSPGN (25%) and MPGN +CG (12.5%). The single most common pathologic diagnosis was MPGN with 5/19 26.3%. While 62.5% of patients with proliferative lesions presented with hypertension, only 36.4% of patients with non-proliferative lesions presented with hypertension.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Conclusion</w:t>
      </w:r>
      <w:r w:rsidR="00C706A6">
        <w:rPr>
          <w:rFonts w:cstheme="minorHAnsi"/>
          <w:sz w:val="24"/>
          <w:szCs w:val="24"/>
        </w:rPr>
        <w:t>: Renal biopsy practice is</w:t>
      </w:r>
      <w:r w:rsidRPr="00D908C6">
        <w:rPr>
          <w:rFonts w:cstheme="minorHAnsi"/>
          <w:sz w:val="24"/>
          <w:szCs w:val="24"/>
        </w:rPr>
        <w:t xml:space="preserve"> inadequate in Port Harcourt. Although MPGN is the most common cause of NS in Port Harcourt children, collapsing </w:t>
      </w:r>
      <w:proofErr w:type="spellStart"/>
      <w:r w:rsidRPr="00D908C6">
        <w:rPr>
          <w:rFonts w:cstheme="minorHAnsi"/>
          <w:sz w:val="24"/>
          <w:szCs w:val="24"/>
        </w:rPr>
        <w:t>glomerulopathy</w:t>
      </w:r>
      <w:proofErr w:type="spellEnd"/>
      <w:r w:rsidRPr="00D908C6">
        <w:rPr>
          <w:rFonts w:cstheme="minorHAnsi"/>
          <w:sz w:val="24"/>
          <w:szCs w:val="24"/>
        </w:rPr>
        <w:t xml:space="preserve"> in HIV negative children also contributes significantly. There is need for increased utility of PRB in nephrology practice in order to optimize patient management in Port Harcourt.   </w:t>
      </w:r>
    </w:p>
    <w:p w:rsidR="00756524" w:rsidRPr="00D908C6" w:rsidRDefault="00756524" w:rsidP="00756524">
      <w:pPr>
        <w:spacing w:line="240" w:lineRule="auto"/>
        <w:jc w:val="both"/>
        <w:rPr>
          <w:rFonts w:cstheme="minorHAnsi"/>
          <w:sz w:val="24"/>
          <w:szCs w:val="24"/>
        </w:rPr>
      </w:pPr>
    </w:p>
    <w:p w:rsidR="00756524" w:rsidRPr="00D908C6" w:rsidRDefault="00756524" w:rsidP="00756524">
      <w:pPr>
        <w:spacing w:line="240" w:lineRule="auto"/>
        <w:jc w:val="both"/>
        <w:rPr>
          <w:rFonts w:cstheme="minorHAnsi"/>
          <w:sz w:val="24"/>
          <w:szCs w:val="24"/>
        </w:rPr>
      </w:pPr>
      <w:r w:rsidRPr="00D908C6">
        <w:rPr>
          <w:rFonts w:cstheme="minorHAnsi"/>
          <w:sz w:val="24"/>
          <w:szCs w:val="24"/>
        </w:rPr>
        <w:t>Key words:</w:t>
      </w:r>
      <w:r w:rsidRPr="00D908C6">
        <w:rPr>
          <w:rFonts w:cstheme="minorHAnsi"/>
          <w:sz w:val="24"/>
          <w:szCs w:val="24"/>
        </w:rPr>
        <w:tab/>
        <w:t>Kidney, Biopsy, Children, Port Harcourt</w:t>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r w:rsidRPr="00D908C6">
        <w:rPr>
          <w:rFonts w:cstheme="minorHAnsi"/>
          <w:sz w:val="24"/>
          <w:szCs w:val="24"/>
        </w:rPr>
        <w:t> </w:t>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b/>
          <w:i/>
          <w:sz w:val="24"/>
          <w:szCs w:val="24"/>
        </w:rPr>
      </w:pPr>
      <w:proofErr w:type="gramStart"/>
      <w:r w:rsidRPr="00D908C6">
        <w:rPr>
          <w:rFonts w:cstheme="minorHAnsi"/>
          <w:b/>
          <w:i/>
          <w:sz w:val="24"/>
          <w:szCs w:val="24"/>
        </w:rPr>
        <w:lastRenderedPageBreak/>
        <w:t>Introduction.</w:t>
      </w:r>
      <w:proofErr w:type="gramEnd"/>
    </w:p>
    <w:p w:rsidR="00E85834" w:rsidRPr="00D908C6" w:rsidRDefault="00E85834" w:rsidP="00756524">
      <w:pPr>
        <w:spacing w:line="240" w:lineRule="auto"/>
        <w:jc w:val="both"/>
        <w:rPr>
          <w:rFonts w:cstheme="minorHAnsi"/>
          <w:sz w:val="24"/>
          <w:szCs w:val="24"/>
        </w:rPr>
      </w:pPr>
      <w:r w:rsidRPr="00D908C6">
        <w:rPr>
          <w:rFonts w:cstheme="minorHAnsi"/>
          <w:sz w:val="24"/>
          <w:szCs w:val="24"/>
        </w:rPr>
        <w:t>Renal diseases which affect children are heterogeneous and the pattern varies from one geographic region to another.</w:t>
      </w:r>
      <w:r w:rsidRPr="00D908C6">
        <w:rPr>
          <w:rFonts w:cstheme="minorHAnsi"/>
          <w:sz w:val="24"/>
          <w:szCs w:val="24"/>
          <w:vertAlign w:val="superscript"/>
        </w:rPr>
        <w:t>1</w:t>
      </w:r>
      <w:proofErr w:type="gramStart"/>
      <w:r w:rsidRPr="00D908C6">
        <w:rPr>
          <w:rFonts w:cstheme="minorHAnsi"/>
          <w:sz w:val="24"/>
          <w:szCs w:val="24"/>
          <w:vertAlign w:val="superscript"/>
        </w:rPr>
        <w:t>,2</w:t>
      </w:r>
      <w:proofErr w:type="gramEnd"/>
      <w:r w:rsidRPr="00D908C6">
        <w:rPr>
          <w:rFonts w:cstheme="minorHAnsi"/>
          <w:sz w:val="24"/>
          <w:szCs w:val="24"/>
        </w:rPr>
        <w:t xml:space="preserve"> Genetic predisposition, environmental background and the level of awareness about the diseases are some factors that influence this variability </w:t>
      </w:r>
      <w:r w:rsidRPr="00D908C6">
        <w:rPr>
          <w:rFonts w:cstheme="minorHAnsi"/>
          <w:sz w:val="24"/>
          <w:szCs w:val="24"/>
          <w:vertAlign w:val="superscript"/>
        </w:rPr>
        <w:t>3</w:t>
      </w:r>
      <w:r w:rsidRPr="00D908C6">
        <w:rPr>
          <w:rFonts w:cstheme="minorHAnsi"/>
          <w:sz w:val="24"/>
          <w:szCs w:val="24"/>
        </w:rPr>
        <w:t xml:space="preserve">. </w:t>
      </w:r>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That nephrology practice is still evolving in Nigeria especially among paediatricians, is attested to by the relative paucity of percutaneous renal biopsies (PRB) even among deserving patients. This is in spite of the fact that PRB is generally considered a safe procedure in </w:t>
      </w:r>
      <w:proofErr w:type="spellStart"/>
      <w:r w:rsidRPr="00D908C6">
        <w:rPr>
          <w:rFonts w:cstheme="minorHAnsi"/>
          <w:sz w:val="24"/>
          <w:szCs w:val="24"/>
        </w:rPr>
        <w:t>pediatric</w:t>
      </w:r>
      <w:proofErr w:type="spellEnd"/>
      <w:r w:rsidRPr="00D908C6">
        <w:rPr>
          <w:rFonts w:cstheme="minorHAnsi"/>
          <w:sz w:val="24"/>
          <w:szCs w:val="24"/>
        </w:rPr>
        <w:t xml:space="preserve"> patients </w:t>
      </w:r>
      <w:r w:rsidRPr="00663827">
        <w:rPr>
          <w:rFonts w:cstheme="minorHAnsi"/>
          <w:color w:val="FF0000"/>
          <w:sz w:val="24"/>
          <w:szCs w:val="24"/>
        </w:rPr>
        <w:t>1</w:t>
      </w:r>
      <w:r w:rsidRPr="00D908C6">
        <w:rPr>
          <w:rFonts w:cstheme="minorHAnsi"/>
          <w:sz w:val="24"/>
          <w:szCs w:val="24"/>
        </w:rPr>
        <w:t xml:space="preserve">. This is attributed by some authors to the assumption by clinicians that </w:t>
      </w:r>
      <w:proofErr w:type="spellStart"/>
      <w:r w:rsidRPr="00D908C6">
        <w:rPr>
          <w:rFonts w:cstheme="minorHAnsi"/>
          <w:sz w:val="24"/>
          <w:szCs w:val="24"/>
        </w:rPr>
        <w:t>nephrotic</w:t>
      </w:r>
      <w:proofErr w:type="spellEnd"/>
      <w:r w:rsidRPr="00D908C6">
        <w:rPr>
          <w:rFonts w:cstheme="minorHAnsi"/>
          <w:sz w:val="24"/>
          <w:szCs w:val="24"/>
        </w:rPr>
        <w:t xml:space="preserve"> syndrome in children is majorly due to Minimal Change Disease (MCD) and hence, steroid therapy is instituted empirically on clinical grounds </w:t>
      </w:r>
      <w:r w:rsidRPr="00D908C6">
        <w:rPr>
          <w:rFonts w:cstheme="minorHAnsi"/>
          <w:sz w:val="24"/>
          <w:szCs w:val="24"/>
          <w:vertAlign w:val="superscript"/>
        </w:rPr>
        <w:t>4</w:t>
      </w:r>
      <w:proofErr w:type="gramStart"/>
      <w:r w:rsidRPr="00D908C6">
        <w:rPr>
          <w:rFonts w:cstheme="minorHAnsi"/>
          <w:sz w:val="24"/>
          <w:szCs w:val="24"/>
          <w:vertAlign w:val="superscript"/>
        </w:rPr>
        <w:t>,5</w:t>
      </w:r>
      <w:proofErr w:type="gramEnd"/>
      <w:r w:rsidRPr="00D908C6">
        <w:rPr>
          <w:rFonts w:cstheme="minorHAnsi"/>
          <w:sz w:val="24"/>
          <w:szCs w:val="24"/>
        </w:rPr>
        <w:t xml:space="preserve">. </w:t>
      </w:r>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Moreover, renal biopsy in </w:t>
      </w:r>
      <w:proofErr w:type="spellStart"/>
      <w:r w:rsidRPr="00D908C6">
        <w:rPr>
          <w:rFonts w:cstheme="minorHAnsi"/>
          <w:sz w:val="24"/>
          <w:szCs w:val="24"/>
        </w:rPr>
        <w:t>pediatric</w:t>
      </w:r>
      <w:proofErr w:type="spellEnd"/>
      <w:r w:rsidRPr="00D908C6">
        <w:rPr>
          <w:rFonts w:cstheme="minorHAnsi"/>
          <w:sz w:val="24"/>
          <w:szCs w:val="24"/>
        </w:rPr>
        <w:t xml:space="preserve"> group is more demanding than the adult counterpart owing to the expertise required for handling apprehensive children and concerned parents </w:t>
      </w:r>
      <w:r w:rsidRPr="00D908C6">
        <w:rPr>
          <w:rFonts w:cstheme="minorHAnsi"/>
          <w:sz w:val="24"/>
          <w:szCs w:val="24"/>
          <w:vertAlign w:val="superscript"/>
        </w:rPr>
        <w:t>6</w:t>
      </w:r>
      <w:r w:rsidRPr="00D908C6">
        <w:rPr>
          <w:rFonts w:cstheme="minorHAnsi"/>
          <w:sz w:val="24"/>
          <w:szCs w:val="24"/>
        </w:rPr>
        <w:t xml:space="preserve">. Consistent with this notion is a publication from Jordan that indicated that </w:t>
      </w:r>
      <w:proofErr w:type="spellStart"/>
      <w:r w:rsidRPr="00D908C6">
        <w:rPr>
          <w:rFonts w:cstheme="minorHAnsi"/>
          <w:sz w:val="24"/>
          <w:szCs w:val="24"/>
        </w:rPr>
        <w:t>pediatric</w:t>
      </w:r>
      <w:proofErr w:type="spellEnd"/>
      <w:r w:rsidRPr="00D908C6">
        <w:rPr>
          <w:rFonts w:cstheme="minorHAnsi"/>
          <w:sz w:val="24"/>
          <w:szCs w:val="24"/>
        </w:rPr>
        <w:t xml:space="preserve"> kidney biopsy does not exceed 10% of the total biopsies </w:t>
      </w:r>
      <w:r w:rsidRPr="00C706A6">
        <w:rPr>
          <w:rFonts w:cstheme="minorHAnsi"/>
          <w:color w:val="FF0000"/>
          <w:sz w:val="24"/>
          <w:szCs w:val="24"/>
        </w:rPr>
        <w:t>1</w:t>
      </w:r>
      <w:r w:rsidRPr="00D908C6">
        <w:rPr>
          <w:rFonts w:cstheme="minorHAnsi"/>
          <w:sz w:val="24"/>
          <w:szCs w:val="24"/>
        </w:rPr>
        <w:t xml:space="preserve">. In addition, patients in our environment often find it difficult to pay for the necessary fees required for the execution of a renal biopsy procedure including admission, procedure and histology fees.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However, histological examination of renal biopsy is not only fundamental in establishing the clinical diagnosis, but also provides insight into the histological pattern and prognosis of renal disease and guides treatment </w:t>
      </w:r>
      <w:r w:rsidRPr="00D908C6">
        <w:rPr>
          <w:rFonts w:cstheme="minorHAnsi"/>
          <w:sz w:val="24"/>
          <w:szCs w:val="24"/>
          <w:vertAlign w:val="superscript"/>
        </w:rPr>
        <w:t>6</w:t>
      </w:r>
      <w:r w:rsidRPr="00D908C6">
        <w:rPr>
          <w:rFonts w:cstheme="minorHAnsi"/>
          <w:sz w:val="24"/>
          <w:szCs w:val="24"/>
        </w:rPr>
        <w:t xml:space="preserve">. Common indications for renal biopsy include: Unexplained renal failure, Acute nephritic syndrome, </w:t>
      </w:r>
      <w:proofErr w:type="spellStart"/>
      <w:r w:rsidRPr="00D908C6">
        <w:rPr>
          <w:rFonts w:cstheme="minorHAnsi"/>
          <w:sz w:val="24"/>
          <w:szCs w:val="24"/>
        </w:rPr>
        <w:t>Nephrotic</w:t>
      </w:r>
      <w:proofErr w:type="spellEnd"/>
      <w:r w:rsidRPr="00D908C6">
        <w:rPr>
          <w:rFonts w:cstheme="minorHAnsi"/>
          <w:sz w:val="24"/>
          <w:szCs w:val="24"/>
        </w:rPr>
        <w:t xml:space="preserve"> syndrome, proteinuria, </w:t>
      </w:r>
      <w:proofErr w:type="spellStart"/>
      <w:r w:rsidRPr="00D908C6">
        <w:rPr>
          <w:rFonts w:cstheme="minorHAnsi"/>
          <w:sz w:val="24"/>
          <w:szCs w:val="24"/>
        </w:rPr>
        <w:t>hematuria</w:t>
      </w:r>
      <w:proofErr w:type="spellEnd"/>
      <w:r w:rsidRPr="00D908C6">
        <w:rPr>
          <w:rFonts w:cstheme="minorHAnsi"/>
          <w:sz w:val="24"/>
          <w:szCs w:val="24"/>
        </w:rPr>
        <w:t>, Renal masses (primary or secondary), monitoring of allograft kidneys, Connective-tissue diseases (</w:t>
      </w:r>
      <w:proofErr w:type="spellStart"/>
      <w:r w:rsidRPr="00D908C6">
        <w:rPr>
          <w:rFonts w:cstheme="minorHAnsi"/>
          <w:sz w:val="24"/>
          <w:szCs w:val="24"/>
        </w:rPr>
        <w:t>eg</w:t>
      </w:r>
      <w:proofErr w:type="spellEnd"/>
      <w:r w:rsidRPr="00D908C6">
        <w:rPr>
          <w:rFonts w:cstheme="minorHAnsi"/>
          <w:sz w:val="24"/>
          <w:szCs w:val="24"/>
        </w:rPr>
        <w:t xml:space="preserve">, systemic lupus </w:t>
      </w:r>
      <w:proofErr w:type="spellStart"/>
      <w:r w:rsidRPr="00D908C6">
        <w:rPr>
          <w:rFonts w:cstheme="minorHAnsi"/>
          <w:sz w:val="24"/>
          <w:szCs w:val="24"/>
        </w:rPr>
        <w:t>erythematosus</w:t>
      </w:r>
      <w:proofErr w:type="spellEnd"/>
      <w:r w:rsidRPr="00D908C6">
        <w:rPr>
          <w:rFonts w:cstheme="minorHAnsi"/>
          <w:sz w:val="24"/>
          <w:szCs w:val="24"/>
        </w:rPr>
        <w:t xml:space="preserve">) </w:t>
      </w:r>
      <w:r w:rsidR="00663827">
        <w:rPr>
          <w:rFonts w:cstheme="minorHAnsi"/>
          <w:sz w:val="24"/>
          <w:szCs w:val="24"/>
          <w:vertAlign w:val="superscript"/>
        </w:rPr>
        <w:t>7</w:t>
      </w:r>
      <w:r w:rsidRPr="00D908C6">
        <w:rPr>
          <w:rFonts w:cstheme="minorHAnsi"/>
          <w:sz w:val="24"/>
          <w:szCs w:val="24"/>
        </w:rPr>
        <w:t xml:space="preserve">. </w:t>
      </w:r>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Typically, renal biopsy is analysed for preliminary pathological diagnosis by systematically examining the different histologic compartments (glomeruli, tubules, </w:t>
      </w:r>
      <w:proofErr w:type="spellStart"/>
      <w:r w:rsidRPr="00D908C6">
        <w:rPr>
          <w:rFonts w:cstheme="minorHAnsi"/>
          <w:sz w:val="24"/>
          <w:szCs w:val="24"/>
        </w:rPr>
        <w:t>interstitium</w:t>
      </w:r>
      <w:proofErr w:type="spellEnd"/>
      <w:r w:rsidRPr="00D908C6">
        <w:rPr>
          <w:rFonts w:cstheme="minorHAnsi"/>
          <w:sz w:val="24"/>
          <w:szCs w:val="24"/>
        </w:rPr>
        <w:t xml:space="preserve">, and blood vessels) under light microscopy using tissue sections routinely stained with H&amp;E and special stains, after a review of the clinical information of the patient. However, when the light microscopic findings are complemented with immunofluorescence/immunohistochemistry and electron microscopy, a more accurate and conclusive diagnosis is made. The latter services are not available in most centres of Nigeria, including ours.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This constitutes an impediment to accurate pathological diagnosis of renal biopsies in our environment. </w:t>
      </w:r>
      <w:proofErr w:type="gramStart"/>
      <w:r w:rsidR="00663827">
        <w:rPr>
          <w:rFonts w:cstheme="minorHAnsi"/>
          <w:sz w:val="24"/>
          <w:szCs w:val="24"/>
          <w:vertAlign w:val="superscript"/>
        </w:rPr>
        <w:t>8</w:t>
      </w:r>
      <w:r w:rsidR="00C706A6">
        <w:rPr>
          <w:rFonts w:cstheme="minorHAnsi"/>
          <w:sz w:val="24"/>
          <w:szCs w:val="24"/>
          <w:vertAlign w:val="superscript"/>
        </w:rPr>
        <w:t xml:space="preserve">, </w:t>
      </w:r>
      <w:r w:rsidR="00663827">
        <w:rPr>
          <w:rFonts w:cstheme="minorHAnsi"/>
          <w:sz w:val="24"/>
          <w:szCs w:val="24"/>
          <w:vertAlign w:val="superscript"/>
        </w:rPr>
        <w:t>9</w:t>
      </w:r>
      <w:r w:rsidRPr="00D908C6">
        <w:rPr>
          <w:rFonts w:cstheme="minorHAnsi"/>
          <w:sz w:val="24"/>
          <w:szCs w:val="24"/>
        </w:rPr>
        <w:t>.</w:t>
      </w:r>
      <w:proofErr w:type="gramEnd"/>
      <w:r w:rsidRPr="00D908C6">
        <w:rPr>
          <w:rFonts w:cstheme="minorHAnsi"/>
          <w:sz w:val="24"/>
          <w:szCs w:val="24"/>
        </w:rPr>
        <w:t xml:space="preserve">  Nonetheless, well processed and stained tissue sections evaluated by experienced </w:t>
      </w:r>
      <w:proofErr w:type="spellStart"/>
      <w:r w:rsidRPr="00D908C6">
        <w:rPr>
          <w:rFonts w:cstheme="minorHAnsi"/>
          <w:sz w:val="24"/>
          <w:szCs w:val="24"/>
        </w:rPr>
        <w:t>nephropathologist</w:t>
      </w:r>
      <w:proofErr w:type="spellEnd"/>
      <w:r w:rsidRPr="00D908C6">
        <w:rPr>
          <w:rFonts w:cstheme="minorHAnsi"/>
          <w:sz w:val="24"/>
          <w:szCs w:val="24"/>
        </w:rPr>
        <w:t xml:space="preserve"> using light microscopy yields dependable pathologic diagnosis which remains an important guide for the clinician in the diagnosis, prognosis, and therapy of renal disease in deprived environment such as ours.</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As renal diseases continue to contribute significantly to the burden of morbidity and mortality in Nigeria, data on pathology of kidney diseases remains very scanty due to paucity of renal biopsy tissue in histopathology labs and dearth of </w:t>
      </w:r>
      <w:proofErr w:type="spellStart"/>
      <w:r w:rsidRPr="00D908C6">
        <w:rPr>
          <w:rFonts w:cstheme="minorHAnsi"/>
          <w:sz w:val="24"/>
          <w:szCs w:val="24"/>
        </w:rPr>
        <w:t>nephropathologists</w:t>
      </w:r>
      <w:proofErr w:type="spellEnd"/>
      <w:r w:rsidRPr="00D908C6">
        <w:rPr>
          <w:rFonts w:cstheme="minorHAnsi"/>
          <w:sz w:val="24"/>
          <w:szCs w:val="24"/>
        </w:rPr>
        <w:t xml:space="preserve"> in Nigeria </w:t>
      </w:r>
      <w:r w:rsidRPr="00D908C6">
        <w:rPr>
          <w:rFonts w:cstheme="minorHAnsi"/>
          <w:sz w:val="24"/>
          <w:szCs w:val="24"/>
          <w:vertAlign w:val="superscript"/>
        </w:rPr>
        <w:t>1</w:t>
      </w:r>
      <w:r w:rsidR="00663827">
        <w:rPr>
          <w:rFonts w:cstheme="minorHAnsi"/>
          <w:sz w:val="24"/>
          <w:szCs w:val="24"/>
          <w:vertAlign w:val="superscript"/>
        </w:rPr>
        <w:t>0, 11</w:t>
      </w:r>
      <w:r w:rsidRPr="00D908C6">
        <w:rPr>
          <w:rFonts w:cstheme="minorHAnsi"/>
          <w:sz w:val="24"/>
          <w:szCs w:val="24"/>
        </w:rPr>
        <w:t>.</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This study, therefore, evaluated the spectrum of pathological findings in children who presented with symptoms requiring renal biopsies in our centre in Port Harcourt, Nigeria. </w:t>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b/>
          <w:i/>
          <w:sz w:val="24"/>
          <w:szCs w:val="24"/>
        </w:rPr>
      </w:pPr>
      <w:proofErr w:type="gramStart"/>
      <w:r w:rsidRPr="00D908C6">
        <w:rPr>
          <w:rFonts w:cstheme="minorHAnsi"/>
          <w:b/>
          <w:i/>
          <w:sz w:val="24"/>
          <w:szCs w:val="24"/>
        </w:rPr>
        <w:lastRenderedPageBreak/>
        <w:t>Materials and methods.</w:t>
      </w:r>
      <w:proofErr w:type="gramEnd"/>
    </w:p>
    <w:p w:rsidR="00E85834" w:rsidRPr="00D908C6" w:rsidRDefault="00E85834" w:rsidP="00756524">
      <w:pPr>
        <w:spacing w:line="240" w:lineRule="auto"/>
        <w:jc w:val="both"/>
        <w:rPr>
          <w:rFonts w:cstheme="minorHAnsi"/>
          <w:sz w:val="24"/>
          <w:szCs w:val="24"/>
        </w:rPr>
      </w:pPr>
      <w:r w:rsidRPr="00D908C6">
        <w:rPr>
          <w:rFonts w:cstheme="minorHAnsi"/>
          <w:sz w:val="24"/>
          <w:szCs w:val="24"/>
        </w:rPr>
        <w:t>This is a retrospective review of all percutaneous renal biopsies processed at the University of Port Harcourt Teaching Hospitals Port Harcourt, (UPTH) Nigeria, between January 2014 and December 2015. UPTH is the foremost tertiary health institution in the Niger Delta region/Sou</w:t>
      </w:r>
      <w:r w:rsidR="00DD4DDE">
        <w:rPr>
          <w:rFonts w:cstheme="minorHAnsi"/>
          <w:sz w:val="24"/>
          <w:szCs w:val="24"/>
        </w:rPr>
        <w:t xml:space="preserve">th-South part of Nigeria and enjoys </w:t>
      </w:r>
      <w:r w:rsidR="000F7A38">
        <w:rPr>
          <w:rFonts w:cstheme="minorHAnsi"/>
          <w:sz w:val="24"/>
          <w:szCs w:val="24"/>
        </w:rPr>
        <w:t>patients’</w:t>
      </w:r>
      <w:r w:rsidR="00DD4DDE">
        <w:rPr>
          <w:rFonts w:cstheme="minorHAnsi"/>
          <w:sz w:val="24"/>
          <w:szCs w:val="24"/>
        </w:rPr>
        <w:t xml:space="preserve"> patronage</w:t>
      </w:r>
      <w:r w:rsidRPr="00D908C6">
        <w:rPr>
          <w:rFonts w:cstheme="minorHAnsi"/>
          <w:sz w:val="24"/>
          <w:szCs w:val="24"/>
        </w:rPr>
        <w:t xml:space="preserve"> from the neighbo</w:t>
      </w:r>
      <w:r w:rsidR="000F7A38">
        <w:rPr>
          <w:rFonts w:cstheme="minorHAnsi"/>
          <w:sz w:val="24"/>
          <w:szCs w:val="24"/>
        </w:rPr>
        <w:t xml:space="preserve">uring states of </w:t>
      </w:r>
      <w:proofErr w:type="spellStart"/>
      <w:r w:rsidR="000F7A38">
        <w:rPr>
          <w:rFonts w:cstheme="minorHAnsi"/>
          <w:sz w:val="24"/>
          <w:szCs w:val="24"/>
        </w:rPr>
        <w:t>Abia</w:t>
      </w:r>
      <w:proofErr w:type="spellEnd"/>
      <w:r w:rsidR="000F7A38">
        <w:rPr>
          <w:rFonts w:cstheme="minorHAnsi"/>
          <w:sz w:val="24"/>
          <w:szCs w:val="24"/>
        </w:rPr>
        <w:t xml:space="preserve">, Imo, </w:t>
      </w:r>
      <w:proofErr w:type="spellStart"/>
      <w:r w:rsidR="000F7A38">
        <w:rPr>
          <w:rFonts w:cstheme="minorHAnsi"/>
          <w:sz w:val="24"/>
          <w:szCs w:val="24"/>
        </w:rPr>
        <w:t>AkwaI</w:t>
      </w:r>
      <w:r w:rsidRPr="00D908C6">
        <w:rPr>
          <w:rFonts w:cstheme="minorHAnsi"/>
          <w:sz w:val="24"/>
          <w:szCs w:val="24"/>
        </w:rPr>
        <w:t>bom</w:t>
      </w:r>
      <w:proofErr w:type="spellEnd"/>
      <w:r w:rsidRPr="00D908C6">
        <w:rPr>
          <w:rFonts w:cstheme="minorHAnsi"/>
          <w:sz w:val="24"/>
          <w:szCs w:val="24"/>
        </w:rPr>
        <w:t xml:space="preserve">, </w:t>
      </w:r>
      <w:proofErr w:type="spellStart"/>
      <w:r w:rsidRPr="00D908C6">
        <w:rPr>
          <w:rFonts w:cstheme="minorHAnsi"/>
          <w:sz w:val="24"/>
          <w:szCs w:val="24"/>
        </w:rPr>
        <w:t>Bayelsa</w:t>
      </w:r>
      <w:proofErr w:type="spellEnd"/>
      <w:r w:rsidRPr="00D908C6">
        <w:rPr>
          <w:rFonts w:cstheme="minorHAnsi"/>
          <w:sz w:val="24"/>
          <w:szCs w:val="24"/>
        </w:rPr>
        <w:t>, Delta, Edo and Cross River. The caregivers/parents of all patients consented to renal biopsy of their wards/children. All renal biopsies were performed under ultrasound guidance using spring</w:t>
      </w:r>
      <w:r w:rsidRPr="00D908C6">
        <w:rPr>
          <w:rFonts w:ascii="MS Mincho" w:eastAsia="MS Mincho" w:hAnsi="MS Mincho" w:cs="MS Mincho" w:hint="eastAsia"/>
          <w:sz w:val="24"/>
          <w:szCs w:val="24"/>
        </w:rPr>
        <w:t>‑</w:t>
      </w:r>
      <w:r w:rsidRPr="00D908C6">
        <w:rPr>
          <w:rFonts w:cstheme="minorHAnsi"/>
          <w:sz w:val="24"/>
          <w:szCs w:val="24"/>
        </w:rPr>
        <w:t>loaded semiautomatic biopsy needles after light sedation and application of local anaesthetics. The patients were treated as day</w:t>
      </w:r>
      <w:r w:rsidR="00C706A6">
        <w:rPr>
          <w:rFonts w:cstheme="minorHAnsi"/>
          <w:sz w:val="24"/>
          <w:szCs w:val="24"/>
        </w:rPr>
        <w:t xml:space="preserve"> cases and returned home after 5-8</w:t>
      </w:r>
      <w:r w:rsidRPr="00D908C6">
        <w:rPr>
          <w:rFonts w:cstheme="minorHAnsi"/>
          <w:sz w:val="24"/>
          <w:szCs w:val="24"/>
        </w:rPr>
        <w:t xml:space="preserve"> hours of</w:t>
      </w:r>
      <w:r w:rsidR="00C706A6">
        <w:rPr>
          <w:rFonts w:cstheme="minorHAnsi"/>
          <w:sz w:val="24"/>
          <w:szCs w:val="24"/>
        </w:rPr>
        <w:t xml:space="preserve"> uneventful post biopsy</w:t>
      </w:r>
      <w:r w:rsidRPr="00D908C6">
        <w:rPr>
          <w:rFonts w:cstheme="minorHAnsi"/>
          <w:sz w:val="24"/>
          <w:szCs w:val="24"/>
        </w:rPr>
        <w:t xml:space="preserve"> monitoring.</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The demographic and relevant clinical details of the patients were gleaned from their </w:t>
      </w:r>
      <w:r w:rsidR="000F7A38">
        <w:rPr>
          <w:rFonts w:cstheme="minorHAnsi"/>
          <w:sz w:val="24"/>
          <w:szCs w:val="24"/>
        </w:rPr>
        <w:t>pathology request cards</w:t>
      </w:r>
      <w:r w:rsidR="00F52E38">
        <w:rPr>
          <w:rFonts w:cstheme="minorHAnsi"/>
          <w:sz w:val="24"/>
          <w:szCs w:val="24"/>
        </w:rPr>
        <w:t xml:space="preserve"> and case notes, where available</w:t>
      </w:r>
      <w:r w:rsidRPr="00D908C6">
        <w:rPr>
          <w:rFonts w:cstheme="minorHAnsi"/>
          <w:sz w:val="24"/>
          <w:szCs w:val="24"/>
        </w:rPr>
        <w:t xml:space="preserve">. </w:t>
      </w:r>
      <w:r w:rsidR="00F52E38">
        <w:rPr>
          <w:rFonts w:cstheme="minorHAnsi"/>
          <w:sz w:val="24"/>
          <w:szCs w:val="24"/>
        </w:rPr>
        <w:t>The information sought for</w:t>
      </w:r>
      <w:r w:rsidR="00F52E38" w:rsidRPr="00F52E38">
        <w:rPr>
          <w:rFonts w:cstheme="minorHAnsi"/>
          <w:sz w:val="24"/>
          <w:szCs w:val="24"/>
        </w:rPr>
        <w:t xml:space="preserve"> included</w:t>
      </w:r>
      <w:r w:rsidR="00F52E38">
        <w:rPr>
          <w:rFonts w:cstheme="minorHAnsi"/>
          <w:sz w:val="24"/>
          <w:szCs w:val="24"/>
        </w:rPr>
        <w:t xml:space="preserve">: </w:t>
      </w:r>
      <w:r w:rsidR="004B6FED">
        <w:rPr>
          <w:rFonts w:cstheme="minorHAnsi"/>
          <w:sz w:val="24"/>
          <w:szCs w:val="24"/>
        </w:rPr>
        <w:t xml:space="preserve"> age at diagnosis, gender, blood pressure, urinalysis findings, </w:t>
      </w:r>
      <w:proofErr w:type="gramStart"/>
      <w:r w:rsidR="004B6FED">
        <w:rPr>
          <w:rFonts w:cstheme="minorHAnsi"/>
          <w:sz w:val="24"/>
          <w:szCs w:val="24"/>
        </w:rPr>
        <w:t>serum</w:t>
      </w:r>
      <w:proofErr w:type="gramEnd"/>
      <w:r w:rsidR="004B6FED">
        <w:rPr>
          <w:rFonts w:cstheme="minorHAnsi"/>
          <w:sz w:val="24"/>
          <w:szCs w:val="24"/>
        </w:rPr>
        <w:t xml:space="preserve"> chemistry results, </w:t>
      </w:r>
      <w:r w:rsidR="00F52E38" w:rsidRPr="00F52E38">
        <w:rPr>
          <w:rFonts w:cstheme="minorHAnsi"/>
          <w:sz w:val="24"/>
          <w:szCs w:val="24"/>
        </w:rPr>
        <w:t>serology results for hepatitis B, C, and hum</w:t>
      </w:r>
      <w:r w:rsidR="004B6FED">
        <w:rPr>
          <w:rFonts w:cstheme="minorHAnsi"/>
          <w:sz w:val="24"/>
          <w:szCs w:val="24"/>
        </w:rPr>
        <w:t>an immunodeficiency virus (HIV). The biopsies were</w:t>
      </w:r>
      <w:r w:rsidRPr="00D908C6">
        <w:rPr>
          <w:rFonts w:cstheme="minorHAnsi"/>
          <w:sz w:val="24"/>
          <w:szCs w:val="24"/>
        </w:rPr>
        <w:t xml:space="preserve"> fixed in 10% neutral buffered formalin processed using automated tissue processor, embedded in paraffin wax and sectioned at thickness of 2–4 µ and stained with </w:t>
      </w:r>
      <w:proofErr w:type="spellStart"/>
      <w:r w:rsidRPr="00D908C6">
        <w:rPr>
          <w:rFonts w:cstheme="minorHAnsi"/>
          <w:sz w:val="24"/>
          <w:szCs w:val="24"/>
        </w:rPr>
        <w:t>hematoxylin</w:t>
      </w:r>
      <w:proofErr w:type="spellEnd"/>
      <w:r w:rsidRPr="00D908C6">
        <w:rPr>
          <w:rFonts w:cstheme="minorHAnsi"/>
          <w:sz w:val="24"/>
          <w:szCs w:val="24"/>
        </w:rPr>
        <w:t xml:space="preserve"> and eosin (H and E), periodic acid Schiff (PAS), Jones </w:t>
      </w:r>
      <w:proofErr w:type="spellStart"/>
      <w:r w:rsidRPr="00D908C6">
        <w:rPr>
          <w:rFonts w:cstheme="minorHAnsi"/>
          <w:sz w:val="24"/>
          <w:szCs w:val="24"/>
        </w:rPr>
        <w:t>methenamine</w:t>
      </w:r>
      <w:proofErr w:type="spellEnd"/>
      <w:r w:rsidRPr="00D908C6">
        <w:rPr>
          <w:rFonts w:cstheme="minorHAnsi"/>
          <w:sz w:val="24"/>
          <w:szCs w:val="24"/>
        </w:rPr>
        <w:t xml:space="preserve"> silver (JMS) and Masson's </w:t>
      </w:r>
      <w:proofErr w:type="spellStart"/>
      <w:r w:rsidRPr="00D908C6">
        <w:rPr>
          <w:rFonts w:cstheme="minorHAnsi"/>
          <w:sz w:val="24"/>
          <w:szCs w:val="24"/>
        </w:rPr>
        <w:t>trichrome</w:t>
      </w:r>
      <w:proofErr w:type="spellEnd"/>
      <w:r w:rsidRPr="00D908C6">
        <w:rPr>
          <w:rFonts w:cstheme="minorHAnsi"/>
          <w:sz w:val="24"/>
          <w:szCs w:val="24"/>
        </w:rPr>
        <w:t xml:space="preserve"> (MS). Three levels of the tissue sections were made for each of the stains. Where indicated, Congo red stain was applied on the tissue sections. Appropri</w:t>
      </w:r>
      <w:r w:rsidR="004B6FED">
        <w:rPr>
          <w:rFonts w:cstheme="minorHAnsi"/>
          <w:sz w:val="24"/>
          <w:szCs w:val="24"/>
        </w:rPr>
        <w:t>ate positive controls were used to validate</w:t>
      </w:r>
      <w:r w:rsidRPr="00D908C6">
        <w:rPr>
          <w:rFonts w:cstheme="minorHAnsi"/>
          <w:sz w:val="24"/>
          <w:szCs w:val="24"/>
        </w:rPr>
        <w:t xml:space="preserve"> each of the </w:t>
      </w:r>
      <w:r w:rsidR="004B6FED">
        <w:rPr>
          <w:rFonts w:cstheme="minorHAnsi"/>
          <w:sz w:val="24"/>
          <w:szCs w:val="24"/>
        </w:rPr>
        <w:t>special stains</w:t>
      </w:r>
      <w:r w:rsidRPr="00D908C6">
        <w:rPr>
          <w:rFonts w:cstheme="minorHAnsi"/>
          <w:sz w:val="24"/>
          <w:szCs w:val="24"/>
        </w:rPr>
        <w:t xml:space="preserve">.  The biopsy sections were all histologically reviewed and reported by one </w:t>
      </w:r>
      <w:proofErr w:type="spellStart"/>
      <w:r w:rsidRPr="00D908C6">
        <w:rPr>
          <w:rFonts w:cstheme="minorHAnsi"/>
          <w:sz w:val="24"/>
          <w:szCs w:val="24"/>
        </w:rPr>
        <w:t>nephropathologist</w:t>
      </w:r>
      <w:proofErr w:type="spellEnd"/>
      <w:r w:rsidRPr="00D908C6">
        <w:rPr>
          <w:rFonts w:cstheme="minorHAnsi"/>
          <w:sz w:val="24"/>
          <w:szCs w:val="24"/>
        </w:rPr>
        <w:t xml:space="preserve"> for preliminary pathological diagnosis by systematically examining the different compartments (glomeruli, tubules, </w:t>
      </w:r>
      <w:proofErr w:type="spellStart"/>
      <w:r w:rsidRPr="00D908C6">
        <w:rPr>
          <w:rFonts w:cstheme="minorHAnsi"/>
          <w:sz w:val="24"/>
          <w:szCs w:val="24"/>
        </w:rPr>
        <w:t>interstitium</w:t>
      </w:r>
      <w:proofErr w:type="spellEnd"/>
      <w:r w:rsidRPr="00D908C6">
        <w:rPr>
          <w:rFonts w:cstheme="minorHAnsi"/>
          <w:sz w:val="24"/>
          <w:szCs w:val="24"/>
        </w:rPr>
        <w:t>, and blood vessels)</w:t>
      </w:r>
      <w:r w:rsidR="004B6FED">
        <w:rPr>
          <w:rFonts w:cstheme="minorHAnsi"/>
          <w:sz w:val="24"/>
          <w:szCs w:val="24"/>
        </w:rPr>
        <w:t xml:space="preserve"> at three levels of tissue sections</w:t>
      </w:r>
      <w:r w:rsidRPr="00D908C6">
        <w:rPr>
          <w:rFonts w:cstheme="minorHAnsi"/>
          <w:sz w:val="24"/>
          <w:szCs w:val="24"/>
        </w:rPr>
        <w:t>.  The hi</w:t>
      </w:r>
      <w:r w:rsidR="000F7A38">
        <w:rPr>
          <w:rFonts w:cstheme="minorHAnsi"/>
          <w:sz w:val="24"/>
          <w:szCs w:val="24"/>
        </w:rPr>
        <w:t>stologic diagnoses were group</w:t>
      </w:r>
      <w:r w:rsidRPr="00D908C6">
        <w:rPr>
          <w:rFonts w:cstheme="minorHAnsi"/>
          <w:sz w:val="24"/>
          <w:szCs w:val="24"/>
        </w:rPr>
        <w:t xml:space="preserve">ed as glomerular and non-glomerular lesions, depending on the compartment majorly involved by </w:t>
      </w:r>
      <w:proofErr w:type="spellStart"/>
      <w:r w:rsidRPr="00D908C6">
        <w:rPr>
          <w:rFonts w:cstheme="minorHAnsi"/>
          <w:sz w:val="24"/>
          <w:szCs w:val="24"/>
        </w:rPr>
        <w:t>histopathologic</w:t>
      </w:r>
      <w:proofErr w:type="spellEnd"/>
      <w:r w:rsidRPr="00D908C6">
        <w:rPr>
          <w:rFonts w:cstheme="minorHAnsi"/>
          <w:sz w:val="24"/>
          <w:szCs w:val="24"/>
        </w:rPr>
        <w:t xml:space="preserve"> lesions. The glomerular lesions were classified using the World Health Organization classification scheme </w:t>
      </w:r>
      <w:r w:rsidRPr="00F52E38">
        <w:rPr>
          <w:rFonts w:cstheme="minorHAnsi"/>
          <w:color w:val="FF0000"/>
          <w:sz w:val="24"/>
          <w:szCs w:val="24"/>
        </w:rPr>
        <w:t>1</w:t>
      </w:r>
      <w:r w:rsidR="00663827">
        <w:rPr>
          <w:rFonts w:cstheme="minorHAnsi"/>
          <w:color w:val="FF0000"/>
          <w:sz w:val="24"/>
          <w:szCs w:val="24"/>
        </w:rPr>
        <w:t>2</w:t>
      </w:r>
      <w:r w:rsidRPr="00D908C6">
        <w:rPr>
          <w:rFonts w:cstheme="minorHAnsi"/>
          <w:sz w:val="24"/>
          <w:szCs w:val="24"/>
        </w:rPr>
        <w:t xml:space="preserve">.    The non-glomerular lesions involved </w:t>
      </w:r>
      <w:proofErr w:type="spellStart"/>
      <w:r w:rsidRPr="00D908C6">
        <w:rPr>
          <w:rFonts w:cstheme="minorHAnsi"/>
          <w:sz w:val="24"/>
          <w:szCs w:val="24"/>
        </w:rPr>
        <w:t>tubulointerstitial</w:t>
      </w:r>
      <w:proofErr w:type="spellEnd"/>
      <w:r w:rsidRPr="00D908C6">
        <w:rPr>
          <w:rFonts w:cstheme="minorHAnsi"/>
          <w:sz w:val="24"/>
          <w:szCs w:val="24"/>
        </w:rPr>
        <w:t xml:space="preserve"> nephritis and acute tubular injury (ATI) as well as vascular lesions.</w:t>
      </w:r>
    </w:p>
    <w:p w:rsidR="00E85834" w:rsidRDefault="00E85834" w:rsidP="00756524">
      <w:pPr>
        <w:spacing w:line="240" w:lineRule="auto"/>
        <w:jc w:val="both"/>
        <w:rPr>
          <w:rFonts w:cstheme="minorHAnsi"/>
          <w:sz w:val="24"/>
          <w:szCs w:val="24"/>
        </w:rPr>
      </w:pPr>
      <w:r w:rsidRPr="00D908C6">
        <w:rPr>
          <w:rFonts w:cstheme="minorHAnsi"/>
          <w:sz w:val="24"/>
          <w:szCs w:val="24"/>
        </w:rPr>
        <w:t xml:space="preserve">The results were </w:t>
      </w:r>
      <w:proofErr w:type="spellStart"/>
      <w:r w:rsidRPr="00D908C6">
        <w:rPr>
          <w:rFonts w:cstheme="minorHAnsi"/>
          <w:sz w:val="24"/>
          <w:szCs w:val="24"/>
        </w:rPr>
        <w:t>analyzed</w:t>
      </w:r>
      <w:proofErr w:type="spellEnd"/>
      <w:r w:rsidRPr="00D908C6">
        <w:rPr>
          <w:rFonts w:cstheme="minorHAnsi"/>
          <w:sz w:val="24"/>
          <w:szCs w:val="24"/>
        </w:rPr>
        <w:t xml:space="preserve"> for differences in proportion using Chi-square by the Statistical Package for Social Sciences (SPSS) version 16.0 (SPSS Inc., Chicago, IL, USA). The frequencies of cases were expressed as percentages. The level of statistical significance was set at P ≤ 0.05.</w:t>
      </w:r>
    </w:p>
    <w:p w:rsidR="00C706A6" w:rsidRPr="00D908C6" w:rsidRDefault="00C706A6" w:rsidP="00756524">
      <w:pPr>
        <w:spacing w:line="240" w:lineRule="auto"/>
        <w:jc w:val="both"/>
        <w:rPr>
          <w:rFonts w:cstheme="minorHAnsi"/>
          <w:sz w:val="24"/>
          <w:szCs w:val="24"/>
        </w:rPr>
      </w:pPr>
      <w:r>
        <w:rPr>
          <w:rFonts w:cstheme="minorHAnsi"/>
          <w:sz w:val="24"/>
          <w:szCs w:val="24"/>
        </w:rPr>
        <w:t xml:space="preserve">This study was approved by the ethical committee of our institution. </w:t>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Default="00E85834" w:rsidP="00756524">
      <w:pPr>
        <w:spacing w:line="240" w:lineRule="auto"/>
        <w:jc w:val="both"/>
        <w:rPr>
          <w:rFonts w:cstheme="minorHAnsi"/>
          <w:sz w:val="24"/>
          <w:szCs w:val="24"/>
        </w:rPr>
      </w:pPr>
    </w:p>
    <w:p w:rsidR="00C706A6" w:rsidRDefault="00C706A6" w:rsidP="00756524">
      <w:pPr>
        <w:spacing w:line="240" w:lineRule="auto"/>
        <w:jc w:val="both"/>
        <w:rPr>
          <w:rFonts w:cstheme="minorHAnsi"/>
          <w:sz w:val="24"/>
          <w:szCs w:val="24"/>
        </w:rPr>
      </w:pPr>
    </w:p>
    <w:p w:rsidR="00C706A6" w:rsidRDefault="00C706A6" w:rsidP="00756524">
      <w:pPr>
        <w:spacing w:line="240" w:lineRule="auto"/>
        <w:jc w:val="both"/>
        <w:rPr>
          <w:rFonts w:cstheme="minorHAnsi"/>
          <w:sz w:val="24"/>
          <w:szCs w:val="24"/>
        </w:rPr>
      </w:pPr>
    </w:p>
    <w:p w:rsidR="00C706A6" w:rsidRPr="00D908C6" w:rsidRDefault="00C706A6" w:rsidP="00756524">
      <w:pPr>
        <w:spacing w:line="240" w:lineRule="auto"/>
        <w:jc w:val="both"/>
        <w:rPr>
          <w:rFonts w:cstheme="minorHAnsi"/>
          <w:sz w:val="24"/>
          <w:szCs w:val="24"/>
        </w:rPr>
      </w:pPr>
    </w:p>
    <w:p w:rsidR="00E85834" w:rsidRPr="00D908C6" w:rsidRDefault="00E85834" w:rsidP="00756524">
      <w:pPr>
        <w:spacing w:line="240" w:lineRule="auto"/>
        <w:rPr>
          <w:rFonts w:cstheme="minorHAnsi"/>
          <w:b/>
          <w:i/>
          <w:sz w:val="24"/>
          <w:szCs w:val="24"/>
        </w:rPr>
      </w:pPr>
      <w:r w:rsidRPr="00D908C6">
        <w:rPr>
          <w:rFonts w:cstheme="minorHAnsi"/>
          <w:b/>
          <w:i/>
          <w:sz w:val="24"/>
          <w:szCs w:val="24"/>
        </w:rPr>
        <w:t>Results</w:t>
      </w:r>
    </w:p>
    <w:p w:rsidR="00440A1A" w:rsidRDefault="00E85834" w:rsidP="00756524">
      <w:pPr>
        <w:spacing w:line="240" w:lineRule="auto"/>
        <w:jc w:val="both"/>
        <w:rPr>
          <w:rFonts w:cstheme="minorHAnsi"/>
          <w:sz w:val="24"/>
          <w:szCs w:val="24"/>
        </w:rPr>
      </w:pPr>
      <w:r w:rsidRPr="00D908C6">
        <w:rPr>
          <w:rFonts w:cstheme="minorHAnsi"/>
          <w:sz w:val="24"/>
          <w:szCs w:val="24"/>
        </w:rPr>
        <w:t xml:space="preserve">Ten and 8 patients underwent PRB during the 2014 and 2015 workshops respectively while another case was subsequently biopsied in 2015, bringing the total number of cases analysed in this study to 19.  Of these, 10 cases (52.6%) were females </w:t>
      </w:r>
      <w:r w:rsidRPr="00C706A6">
        <w:rPr>
          <w:rFonts w:cstheme="minorHAnsi"/>
          <w:color w:val="FF0000"/>
          <w:sz w:val="24"/>
          <w:szCs w:val="24"/>
          <w:vertAlign w:val="superscript"/>
        </w:rPr>
        <w:t>Table 1</w:t>
      </w:r>
      <w:r w:rsidRPr="00D908C6">
        <w:rPr>
          <w:rFonts w:cstheme="minorHAnsi"/>
          <w:sz w:val="24"/>
          <w:szCs w:val="24"/>
        </w:rPr>
        <w:t xml:space="preserve">. The age range was 1.8 to 21 years. The mean and median ages were 11.0 +- 6.5 and 11.0. Age distribution of patients showed a steady decrease in number of biopsied patients with age from 0-5 </w:t>
      </w:r>
      <w:proofErr w:type="gramStart"/>
      <w:r w:rsidRPr="00D908C6">
        <w:rPr>
          <w:rFonts w:cstheme="minorHAnsi"/>
          <w:sz w:val="24"/>
          <w:szCs w:val="24"/>
        </w:rPr>
        <w:t>years</w:t>
      </w:r>
      <w:proofErr w:type="gramEnd"/>
      <w:r w:rsidRPr="00D908C6">
        <w:rPr>
          <w:rFonts w:cstheme="minorHAnsi"/>
          <w:sz w:val="24"/>
          <w:szCs w:val="24"/>
        </w:rPr>
        <w:t xml:space="preserve"> age bracket, through 6-10 years and 11-15 years. </w:t>
      </w:r>
      <w:r w:rsidR="00C706A6">
        <w:rPr>
          <w:rFonts w:cstheme="minorHAnsi"/>
          <w:sz w:val="24"/>
          <w:szCs w:val="24"/>
        </w:rPr>
        <w:t>However patients who were older</w:t>
      </w:r>
      <w:r w:rsidR="00440A1A">
        <w:rPr>
          <w:rFonts w:cstheme="minorHAnsi"/>
          <w:sz w:val="24"/>
          <w:szCs w:val="24"/>
        </w:rPr>
        <w:t xml:space="preserve"> than 15 years presented</w:t>
      </w:r>
      <w:r w:rsidRPr="00D908C6">
        <w:rPr>
          <w:rFonts w:cstheme="minorHAnsi"/>
          <w:sz w:val="24"/>
          <w:szCs w:val="24"/>
        </w:rPr>
        <w:t xml:space="preserve"> the highest number of cases, amounting to 36.1%. The peak age was 17 years. </w:t>
      </w:r>
      <w:proofErr w:type="gramStart"/>
      <w:r w:rsidRPr="00440A1A">
        <w:rPr>
          <w:rFonts w:cstheme="minorHAnsi"/>
          <w:color w:val="FF0000"/>
          <w:sz w:val="24"/>
          <w:szCs w:val="24"/>
          <w:vertAlign w:val="superscript"/>
        </w:rPr>
        <w:t>Figure 1</w:t>
      </w:r>
      <w:r w:rsidRPr="00D908C6">
        <w:rPr>
          <w:rFonts w:cstheme="minorHAnsi"/>
          <w:sz w:val="24"/>
          <w:szCs w:val="24"/>
        </w:rPr>
        <w:t>.</w:t>
      </w:r>
      <w:proofErr w:type="gramEnd"/>
      <w:r w:rsidRPr="00D908C6">
        <w:rPr>
          <w:rFonts w:cstheme="minorHAnsi"/>
          <w:sz w:val="24"/>
          <w:szCs w:val="24"/>
        </w:rPr>
        <w:t xml:space="preserve"> </w:t>
      </w:r>
    </w:p>
    <w:p w:rsidR="00E85834" w:rsidRPr="00D908C6" w:rsidRDefault="00440A1A" w:rsidP="00756524">
      <w:pPr>
        <w:spacing w:line="240" w:lineRule="auto"/>
        <w:jc w:val="both"/>
        <w:rPr>
          <w:rFonts w:cstheme="minorHAnsi"/>
          <w:sz w:val="24"/>
          <w:szCs w:val="24"/>
        </w:rPr>
      </w:pPr>
      <w:r>
        <w:rPr>
          <w:rFonts w:cstheme="minorHAnsi"/>
          <w:sz w:val="24"/>
          <w:szCs w:val="24"/>
        </w:rPr>
        <w:t>The indication for all biopsies was</w:t>
      </w:r>
      <w:r w:rsidR="00E85834" w:rsidRPr="00D908C6">
        <w:rPr>
          <w:rFonts w:cstheme="minorHAnsi"/>
          <w:sz w:val="24"/>
          <w:szCs w:val="24"/>
        </w:rPr>
        <w:t xml:space="preserve">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and 11 cases (57.9%) were steroid dependent while 8 cases (42.1%) were steroid resistant. </w:t>
      </w:r>
      <w:proofErr w:type="gramStart"/>
      <w:r w:rsidR="00E85834" w:rsidRPr="00440A1A">
        <w:rPr>
          <w:rFonts w:cstheme="minorHAnsi"/>
          <w:color w:val="FF0000"/>
          <w:sz w:val="24"/>
          <w:szCs w:val="24"/>
          <w:vertAlign w:val="superscript"/>
        </w:rPr>
        <w:t>Figure 2</w:t>
      </w:r>
      <w:r w:rsidR="00E85834" w:rsidRPr="00D908C6">
        <w:rPr>
          <w:rFonts w:cstheme="minorHAnsi"/>
          <w:sz w:val="24"/>
          <w:szCs w:val="24"/>
        </w:rPr>
        <w:t>.</w:t>
      </w:r>
      <w:proofErr w:type="gramEnd"/>
      <w:r w:rsidR="00E85834" w:rsidRPr="00D908C6">
        <w:rPr>
          <w:rFonts w:cstheme="minorHAnsi"/>
          <w:sz w:val="24"/>
          <w:szCs w:val="24"/>
        </w:rPr>
        <w:t xml:space="preserve"> Majority - 63.6% of the steroid dependent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were females while majority of the steroid resistant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 62.5% were males. </w:t>
      </w:r>
      <w:proofErr w:type="gramStart"/>
      <w:r w:rsidR="00E85834" w:rsidRPr="009A00B2">
        <w:rPr>
          <w:rFonts w:cstheme="minorHAnsi"/>
          <w:color w:val="FF0000"/>
          <w:sz w:val="24"/>
          <w:szCs w:val="24"/>
          <w:vertAlign w:val="superscript"/>
        </w:rPr>
        <w:t>Table 2</w:t>
      </w:r>
      <w:r w:rsidR="00E85834" w:rsidRPr="00D908C6">
        <w:rPr>
          <w:rFonts w:cstheme="minorHAnsi"/>
          <w:sz w:val="24"/>
          <w:szCs w:val="24"/>
        </w:rPr>
        <w:t>.</w:t>
      </w:r>
      <w:proofErr w:type="gramEnd"/>
      <w:r w:rsidR="00E85834" w:rsidRPr="00D908C6">
        <w:rPr>
          <w:rFonts w:cstheme="minorHAnsi"/>
          <w:sz w:val="24"/>
          <w:szCs w:val="24"/>
        </w:rPr>
        <w:t xml:space="preserve"> While the incidence of steroid dependent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varied with</w:t>
      </w:r>
      <w:r w:rsidR="009A00B2">
        <w:rPr>
          <w:rFonts w:cstheme="minorHAnsi"/>
          <w:sz w:val="24"/>
          <w:szCs w:val="24"/>
        </w:rPr>
        <w:t xml:space="preserve"> </w:t>
      </w:r>
      <w:proofErr w:type="gramStart"/>
      <w:r w:rsidR="009A00B2">
        <w:rPr>
          <w:rFonts w:cstheme="minorHAnsi"/>
          <w:sz w:val="24"/>
          <w:szCs w:val="24"/>
        </w:rPr>
        <w:t>age, that</w:t>
      </w:r>
      <w:proofErr w:type="gramEnd"/>
      <w:r w:rsidR="009A00B2">
        <w:rPr>
          <w:rFonts w:cstheme="minorHAnsi"/>
          <w:sz w:val="24"/>
          <w:szCs w:val="24"/>
        </w:rPr>
        <w:t xml:space="preserve"> of steroid resistant</w:t>
      </w:r>
      <w:r w:rsidR="00E85834" w:rsidRPr="00D908C6">
        <w:rPr>
          <w:rFonts w:cstheme="minorHAnsi"/>
          <w:sz w:val="24"/>
          <w:szCs w:val="24"/>
        </w:rPr>
        <w:t xml:space="preserve"> did not. </w:t>
      </w:r>
      <w:proofErr w:type="gramStart"/>
      <w:r w:rsidR="00E85834" w:rsidRPr="009A00B2">
        <w:rPr>
          <w:rFonts w:cstheme="minorHAnsi"/>
          <w:color w:val="FF0000"/>
          <w:sz w:val="24"/>
          <w:szCs w:val="24"/>
          <w:vertAlign w:val="superscript"/>
        </w:rPr>
        <w:t>Figure 3</w:t>
      </w:r>
      <w:r w:rsidR="00E85834" w:rsidRPr="009A00B2">
        <w:rPr>
          <w:rFonts w:cstheme="minorHAnsi"/>
          <w:color w:val="FF0000"/>
          <w:sz w:val="24"/>
          <w:szCs w:val="24"/>
        </w:rPr>
        <w:t xml:space="preserve"> </w:t>
      </w:r>
      <w:r w:rsidR="009A00B2">
        <w:rPr>
          <w:rFonts w:cstheme="minorHAnsi"/>
          <w:sz w:val="24"/>
          <w:szCs w:val="24"/>
        </w:rPr>
        <w:t xml:space="preserve">Hypertension </w:t>
      </w:r>
      <w:proofErr w:type="spellStart"/>
      <w:r w:rsidR="009A00B2">
        <w:rPr>
          <w:rFonts w:cstheme="minorHAnsi"/>
          <w:sz w:val="24"/>
          <w:szCs w:val="24"/>
        </w:rPr>
        <w:t>occured</w:t>
      </w:r>
      <w:proofErr w:type="spellEnd"/>
      <w:r w:rsidR="00E85834" w:rsidRPr="00D908C6">
        <w:rPr>
          <w:rFonts w:cstheme="minorHAnsi"/>
          <w:sz w:val="24"/>
          <w:szCs w:val="24"/>
        </w:rPr>
        <w:t xml:space="preserve"> more with SDNS (63.6</w:t>
      </w:r>
      <w:r w:rsidR="009A00B2">
        <w:rPr>
          <w:rFonts w:cstheme="minorHAnsi"/>
          <w:sz w:val="24"/>
          <w:szCs w:val="24"/>
        </w:rPr>
        <w:t>%) unlike SRNS</w:t>
      </w:r>
      <w:r w:rsidR="00E85834" w:rsidRPr="00D908C6">
        <w:rPr>
          <w:rFonts w:cstheme="minorHAnsi"/>
          <w:sz w:val="24"/>
          <w:szCs w:val="24"/>
        </w:rPr>
        <w:t xml:space="preserve"> </w:t>
      </w:r>
      <w:r w:rsidR="009A00B2">
        <w:rPr>
          <w:rFonts w:cstheme="minorHAnsi"/>
          <w:sz w:val="24"/>
          <w:szCs w:val="24"/>
        </w:rPr>
        <w:t>(</w:t>
      </w:r>
      <w:r w:rsidR="00E85834" w:rsidRPr="00D908C6">
        <w:rPr>
          <w:rFonts w:cstheme="minorHAnsi"/>
          <w:sz w:val="24"/>
          <w:szCs w:val="24"/>
        </w:rPr>
        <w:t>25%</w:t>
      </w:r>
      <w:r w:rsidR="009A00B2">
        <w:rPr>
          <w:rFonts w:cstheme="minorHAnsi"/>
          <w:sz w:val="24"/>
          <w:szCs w:val="24"/>
        </w:rPr>
        <w:t>).</w:t>
      </w:r>
      <w:proofErr w:type="gramEnd"/>
      <w:r w:rsidR="009A00B2">
        <w:rPr>
          <w:rFonts w:cstheme="minorHAnsi"/>
          <w:sz w:val="24"/>
          <w:szCs w:val="24"/>
        </w:rPr>
        <w:t xml:space="preserve"> This</w:t>
      </w:r>
      <w:r w:rsidR="00E85834" w:rsidRPr="00D908C6">
        <w:rPr>
          <w:rFonts w:cstheme="minorHAnsi"/>
          <w:sz w:val="24"/>
          <w:szCs w:val="24"/>
        </w:rPr>
        <w:t xml:space="preserve"> is contrary to the findings of proteinuria where both conditions exhibited significant proteinuria; although SRNS showed higher </w:t>
      </w:r>
      <w:proofErr w:type="spellStart"/>
      <w:r w:rsidR="00E85834" w:rsidRPr="00D908C6">
        <w:rPr>
          <w:rFonts w:cstheme="minorHAnsi"/>
          <w:sz w:val="24"/>
          <w:szCs w:val="24"/>
        </w:rPr>
        <w:t>percentatage</w:t>
      </w:r>
      <w:proofErr w:type="spellEnd"/>
      <w:r w:rsidR="00E85834" w:rsidRPr="00D908C6">
        <w:rPr>
          <w:rFonts w:cstheme="minorHAnsi"/>
          <w:sz w:val="24"/>
          <w:szCs w:val="24"/>
        </w:rPr>
        <w:t xml:space="preserve"> of occurrence – 75% </w:t>
      </w:r>
      <w:proofErr w:type="spellStart"/>
      <w:r w:rsidR="00E85834" w:rsidRPr="00D908C6">
        <w:rPr>
          <w:rFonts w:cstheme="minorHAnsi"/>
          <w:sz w:val="24"/>
          <w:szCs w:val="24"/>
        </w:rPr>
        <w:t>vs</w:t>
      </w:r>
      <w:proofErr w:type="spellEnd"/>
      <w:r w:rsidR="00E85834" w:rsidRPr="00D908C6">
        <w:rPr>
          <w:rFonts w:cstheme="minorHAnsi"/>
          <w:sz w:val="24"/>
          <w:szCs w:val="24"/>
        </w:rPr>
        <w:t xml:space="preserve"> 63.6%. </w:t>
      </w:r>
      <w:r w:rsidR="00E85834" w:rsidRPr="009A00B2">
        <w:rPr>
          <w:rFonts w:cstheme="minorHAnsi"/>
          <w:color w:val="FF0000"/>
          <w:sz w:val="24"/>
          <w:szCs w:val="24"/>
          <w:vertAlign w:val="superscript"/>
        </w:rPr>
        <w:t>Table 4</w:t>
      </w:r>
      <w:r w:rsidR="00E85834" w:rsidRPr="009A00B2">
        <w:rPr>
          <w:rFonts w:cstheme="minorHAnsi"/>
          <w:color w:val="FF0000"/>
          <w:sz w:val="24"/>
          <w:szCs w:val="24"/>
        </w:rPr>
        <w:t xml:space="preserve"> </w:t>
      </w:r>
      <w:proofErr w:type="spellStart"/>
      <w:r w:rsidR="00E85834" w:rsidRPr="00D908C6">
        <w:rPr>
          <w:rFonts w:cstheme="minorHAnsi"/>
          <w:sz w:val="24"/>
          <w:szCs w:val="24"/>
        </w:rPr>
        <w:t>Hematuria</w:t>
      </w:r>
      <w:proofErr w:type="spellEnd"/>
      <w:r w:rsidR="00E85834" w:rsidRPr="00D908C6">
        <w:rPr>
          <w:rFonts w:cstheme="minorHAnsi"/>
          <w:sz w:val="24"/>
          <w:szCs w:val="24"/>
        </w:rPr>
        <w:t xml:space="preserve"> o</w:t>
      </w:r>
      <w:r w:rsidR="009A00B2">
        <w:rPr>
          <w:rFonts w:cstheme="minorHAnsi"/>
          <w:sz w:val="24"/>
          <w:szCs w:val="24"/>
        </w:rPr>
        <w:t>ccurred more among</w:t>
      </w:r>
      <w:r w:rsidR="00E85834" w:rsidRPr="00D908C6">
        <w:rPr>
          <w:rFonts w:cstheme="minorHAnsi"/>
          <w:sz w:val="24"/>
          <w:szCs w:val="24"/>
        </w:rPr>
        <w:t xml:space="preserve"> SDN</w:t>
      </w:r>
      <w:r w:rsidR="009A00B2">
        <w:rPr>
          <w:rFonts w:cstheme="minorHAnsi"/>
          <w:sz w:val="24"/>
          <w:szCs w:val="24"/>
        </w:rPr>
        <w:t>S than SRNS</w:t>
      </w:r>
      <w:r w:rsidR="00E85834" w:rsidRPr="00D908C6">
        <w:rPr>
          <w:rFonts w:cstheme="minorHAnsi"/>
          <w:sz w:val="24"/>
          <w:szCs w:val="24"/>
        </w:rPr>
        <w:t xml:space="preserve"> </w:t>
      </w:r>
      <w:r w:rsidR="009A00B2">
        <w:rPr>
          <w:rFonts w:cstheme="minorHAnsi"/>
          <w:sz w:val="24"/>
          <w:szCs w:val="24"/>
        </w:rPr>
        <w:t xml:space="preserve">(45.5% </w:t>
      </w:r>
      <w:proofErr w:type="spellStart"/>
      <w:r w:rsidR="009A00B2">
        <w:rPr>
          <w:rFonts w:cstheme="minorHAnsi"/>
          <w:sz w:val="24"/>
          <w:szCs w:val="24"/>
        </w:rPr>
        <w:t>vs</w:t>
      </w:r>
      <w:proofErr w:type="spellEnd"/>
      <w:r w:rsidR="009A00B2">
        <w:rPr>
          <w:rFonts w:cstheme="minorHAnsi"/>
          <w:sz w:val="24"/>
          <w:szCs w:val="24"/>
        </w:rPr>
        <w:t xml:space="preserve"> </w:t>
      </w:r>
      <w:r w:rsidR="00E85834" w:rsidRPr="00D908C6">
        <w:rPr>
          <w:rFonts w:cstheme="minorHAnsi"/>
          <w:sz w:val="24"/>
          <w:szCs w:val="24"/>
        </w:rPr>
        <w:t>25%</w:t>
      </w:r>
      <w:r w:rsidR="009A00B2">
        <w:rPr>
          <w:rFonts w:cstheme="minorHAnsi"/>
          <w:sz w:val="24"/>
          <w:szCs w:val="24"/>
        </w:rPr>
        <w:t>)</w:t>
      </w:r>
      <w:r w:rsidR="00E85834" w:rsidRPr="00D908C6">
        <w:rPr>
          <w:rFonts w:cstheme="minorHAnsi"/>
          <w:sz w:val="24"/>
          <w:szCs w:val="24"/>
        </w:rPr>
        <w:t xml:space="preserve">. </w:t>
      </w:r>
      <w:r w:rsidR="00E85834" w:rsidRPr="009A00B2">
        <w:rPr>
          <w:rFonts w:cstheme="minorHAnsi"/>
          <w:color w:val="FF0000"/>
          <w:sz w:val="24"/>
          <w:szCs w:val="24"/>
          <w:vertAlign w:val="superscript"/>
        </w:rPr>
        <w:t>Table 5</w:t>
      </w:r>
      <w:r w:rsidR="00E85834" w:rsidRPr="009A00B2">
        <w:rPr>
          <w:rFonts w:cstheme="minorHAnsi"/>
          <w:color w:val="FF0000"/>
          <w:sz w:val="24"/>
          <w:szCs w:val="24"/>
        </w:rPr>
        <w:t xml:space="preserve"> </w:t>
      </w:r>
      <w:proofErr w:type="gramStart"/>
      <w:r w:rsidR="00E85834" w:rsidRPr="00D908C6">
        <w:rPr>
          <w:rFonts w:cstheme="minorHAnsi"/>
          <w:sz w:val="24"/>
          <w:szCs w:val="24"/>
        </w:rPr>
        <w:t>In</w:t>
      </w:r>
      <w:proofErr w:type="gramEnd"/>
      <w:r w:rsidR="00E85834" w:rsidRPr="00D908C6">
        <w:rPr>
          <w:rFonts w:cstheme="minorHAnsi"/>
          <w:sz w:val="24"/>
          <w:szCs w:val="24"/>
        </w:rPr>
        <w:t xml:space="preserve"> both conditions, oliguria was an uncommon feature – having presented in only 36.4% and 37.5% in SDNS and SRNS respectively. </w:t>
      </w:r>
      <w:r w:rsidR="00E85834" w:rsidRPr="009A00B2">
        <w:rPr>
          <w:rFonts w:cstheme="minorHAnsi"/>
          <w:color w:val="FF0000"/>
          <w:sz w:val="24"/>
          <w:szCs w:val="24"/>
          <w:vertAlign w:val="superscript"/>
        </w:rPr>
        <w:t>Table 6</w:t>
      </w:r>
      <w:r w:rsidR="00E85834" w:rsidRPr="009A00B2">
        <w:rPr>
          <w:rFonts w:cstheme="minorHAnsi"/>
          <w:color w:val="FF0000"/>
          <w:sz w:val="24"/>
          <w:szCs w:val="24"/>
        </w:rPr>
        <w:t xml:space="preserve"> </w:t>
      </w:r>
      <w:r w:rsidR="00E85834" w:rsidRPr="00D908C6">
        <w:rPr>
          <w:rFonts w:cstheme="minorHAnsi"/>
          <w:sz w:val="24"/>
          <w:szCs w:val="24"/>
        </w:rPr>
        <w:t xml:space="preserve">Majority of the cases that presented with oliguria 57.1% showed histologic features of collapsing </w:t>
      </w:r>
      <w:proofErr w:type="spellStart"/>
      <w:r w:rsidR="00E85834" w:rsidRPr="00D908C6">
        <w:rPr>
          <w:rFonts w:cstheme="minorHAnsi"/>
          <w:sz w:val="24"/>
          <w:szCs w:val="24"/>
        </w:rPr>
        <w:t>glomerulopathy</w:t>
      </w:r>
      <w:proofErr w:type="spellEnd"/>
      <w:r w:rsidR="00E85834" w:rsidRPr="00D908C6">
        <w:rPr>
          <w:rFonts w:cstheme="minorHAnsi"/>
          <w:sz w:val="24"/>
          <w:szCs w:val="24"/>
        </w:rPr>
        <w:t>.</w:t>
      </w:r>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The glomerular lesions were grouped into proliferative lesions, composed of </w:t>
      </w:r>
      <w:proofErr w:type="spellStart"/>
      <w:r w:rsidRPr="00D908C6">
        <w:rPr>
          <w:rFonts w:cstheme="minorHAnsi"/>
          <w:sz w:val="24"/>
          <w:szCs w:val="24"/>
        </w:rPr>
        <w:t>membranoproliferative</w:t>
      </w:r>
      <w:proofErr w:type="spellEnd"/>
      <w:r w:rsidRPr="00D908C6">
        <w:rPr>
          <w:rFonts w:cstheme="minorHAnsi"/>
          <w:sz w:val="24"/>
          <w:szCs w:val="24"/>
        </w:rPr>
        <w:t xml:space="preserve"> glomerulonephritis (MPGN), </w:t>
      </w:r>
      <w:proofErr w:type="spellStart"/>
      <w:r w:rsidRPr="00D908C6">
        <w:rPr>
          <w:rFonts w:cstheme="minorHAnsi"/>
          <w:sz w:val="24"/>
          <w:szCs w:val="24"/>
        </w:rPr>
        <w:t>mesangioproliferative</w:t>
      </w:r>
      <w:proofErr w:type="spellEnd"/>
      <w:r w:rsidRPr="00D908C6">
        <w:rPr>
          <w:rFonts w:cstheme="minorHAnsi"/>
          <w:sz w:val="24"/>
          <w:szCs w:val="24"/>
        </w:rPr>
        <w:t xml:space="preserve"> glomerulonephritis (MSPGN) and MPGN with collapsing </w:t>
      </w:r>
      <w:proofErr w:type="spellStart"/>
      <w:r w:rsidRPr="00D908C6">
        <w:rPr>
          <w:rFonts w:cstheme="minorHAnsi"/>
          <w:sz w:val="24"/>
          <w:szCs w:val="24"/>
        </w:rPr>
        <w:t>glomerulopathy</w:t>
      </w:r>
      <w:proofErr w:type="spellEnd"/>
      <w:r w:rsidRPr="00D908C6">
        <w:rPr>
          <w:rFonts w:cstheme="minorHAnsi"/>
          <w:sz w:val="24"/>
          <w:szCs w:val="24"/>
        </w:rPr>
        <w:t xml:space="preserve"> (MPGN +CG) and the non-proliferative lesions which in turn included minimal change disease (MCD), focal segmental </w:t>
      </w:r>
      <w:proofErr w:type="spellStart"/>
      <w:r w:rsidRPr="00D908C6">
        <w:rPr>
          <w:rFonts w:cstheme="minorHAnsi"/>
          <w:sz w:val="24"/>
          <w:szCs w:val="24"/>
        </w:rPr>
        <w:t>glomerulosclerosis</w:t>
      </w:r>
      <w:proofErr w:type="spellEnd"/>
      <w:r w:rsidRPr="00D908C6">
        <w:rPr>
          <w:rFonts w:cstheme="minorHAnsi"/>
          <w:sz w:val="24"/>
          <w:szCs w:val="24"/>
        </w:rPr>
        <w:t xml:space="preserve"> (FSGS) and collapsing </w:t>
      </w:r>
      <w:proofErr w:type="spellStart"/>
      <w:r w:rsidRPr="00D908C6">
        <w:rPr>
          <w:rFonts w:cstheme="minorHAnsi"/>
          <w:sz w:val="24"/>
          <w:szCs w:val="24"/>
        </w:rPr>
        <w:t>glomerulopathy</w:t>
      </w:r>
      <w:proofErr w:type="spellEnd"/>
      <w:r w:rsidRPr="00D908C6">
        <w:rPr>
          <w:rFonts w:cstheme="minorHAnsi"/>
          <w:sz w:val="24"/>
          <w:szCs w:val="24"/>
        </w:rPr>
        <w:t xml:space="preserve"> (CG). There were more of non-proliferative lesions – 11 cases (57.9%) than proliferative lesions (42.1%). </w:t>
      </w:r>
      <w:r w:rsidRPr="009A00B2">
        <w:rPr>
          <w:rFonts w:cstheme="minorHAnsi"/>
          <w:color w:val="FF0000"/>
          <w:sz w:val="24"/>
          <w:szCs w:val="24"/>
          <w:vertAlign w:val="superscript"/>
        </w:rPr>
        <w:t>Table 7</w:t>
      </w:r>
      <w:r w:rsidRPr="009A00B2">
        <w:rPr>
          <w:rFonts w:cstheme="minorHAnsi"/>
          <w:color w:val="FF0000"/>
          <w:sz w:val="24"/>
          <w:szCs w:val="24"/>
        </w:rPr>
        <w:t xml:space="preserve"> </w:t>
      </w:r>
      <w:proofErr w:type="gramStart"/>
      <w:r w:rsidRPr="00D908C6">
        <w:rPr>
          <w:rFonts w:cstheme="minorHAnsi"/>
          <w:sz w:val="24"/>
          <w:szCs w:val="24"/>
        </w:rPr>
        <w:t>The</w:t>
      </w:r>
      <w:proofErr w:type="gramEnd"/>
      <w:r w:rsidRPr="00D908C6">
        <w:rPr>
          <w:rFonts w:cstheme="minorHAnsi"/>
          <w:sz w:val="24"/>
          <w:szCs w:val="24"/>
        </w:rPr>
        <w:t xml:space="preserve"> former were composed of MCD and FSGS occurring in equal proportions of 4 cases (36.4%) each as well as CG which constituted 27.2%.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The latter were composed majorly of MPGN (62.5%) followed by MSP (25%) and MPGN +CG (12.5%). </w:t>
      </w:r>
      <w:r w:rsidRPr="00D908C6">
        <w:rPr>
          <w:rFonts w:cstheme="minorHAnsi"/>
          <w:sz w:val="24"/>
          <w:szCs w:val="24"/>
          <w:vertAlign w:val="superscript"/>
        </w:rPr>
        <w:t>Table 7</w:t>
      </w:r>
      <w:r w:rsidRPr="00D908C6">
        <w:rPr>
          <w:rFonts w:cstheme="minorHAnsi"/>
          <w:sz w:val="24"/>
          <w:szCs w:val="24"/>
        </w:rPr>
        <w:t xml:space="preserve"> </w:t>
      </w:r>
      <w:proofErr w:type="gramStart"/>
      <w:r w:rsidRPr="00D908C6">
        <w:rPr>
          <w:rFonts w:cstheme="minorHAnsi"/>
          <w:sz w:val="24"/>
          <w:szCs w:val="24"/>
        </w:rPr>
        <w:t>The</w:t>
      </w:r>
      <w:proofErr w:type="gramEnd"/>
      <w:r w:rsidRPr="00D908C6">
        <w:rPr>
          <w:rFonts w:cstheme="minorHAnsi"/>
          <w:sz w:val="24"/>
          <w:szCs w:val="24"/>
        </w:rPr>
        <w:t xml:space="preserve"> single most common clinical diagnosis was MP with 5/19 26.3%. For proliferative lesions, gender ratio was skewed in favour of females with MFR of 1:3.5 while that of non-proliferative lesions was skewed in favour of males with MFR of 1:0.5. While 62.5% of patients with proliferative lesions presented with hypertension, only 36.4% of patients with non-proliferative lesions presented with hypertension.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The mean duration of sickness prior to presentation to the clinic was 22.2 </w:t>
      </w:r>
      <w:proofErr w:type="gramStart"/>
      <w:r w:rsidRPr="00D908C6">
        <w:rPr>
          <w:rFonts w:cstheme="minorHAnsi"/>
          <w:sz w:val="24"/>
          <w:szCs w:val="24"/>
        </w:rPr>
        <w:t>months,</w:t>
      </w:r>
      <w:proofErr w:type="gramEnd"/>
      <w:r w:rsidRPr="00D908C6">
        <w:rPr>
          <w:rFonts w:cstheme="minorHAnsi"/>
          <w:sz w:val="24"/>
          <w:szCs w:val="24"/>
        </w:rPr>
        <w:t xml:space="preserve"> minimum period was 1 month while maximal duration was 132 months.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All the biopsies were adequate and conta</w:t>
      </w:r>
      <w:r w:rsidR="009A00B2">
        <w:rPr>
          <w:rFonts w:cstheme="minorHAnsi"/>
          <w:sz w:val="24"/>
          <w:szCs w:val="24"/>
        </w:rPr>
        <w:t>ined renal cortex and medulla. There was n</w:t>
      </w:r>
      <w:r w:rsidRPr="00D908C6">
        <w:rPr>
          <w:rFonts w:cstheme="minorHAnsi"/>
          <w:sz w:val="24"/>
          <w:szCs w:val="24"/>
        </w:rPr>
        <w:t>o case of post-</w:t>
      </w:r>
      <w:r w:rsidR="009A00B2">
        <w:rPr>
          <w:rFonts w:cstheme="minorHAnsi"/>
          <w:sz w:val="24"/>
          <w:szCs w:val="24"/>
        </w:rPr>
        <w:t>biopsy complication</w:t>
      </w:r>
      <w:r w:rsidRPr="00D908C6">
        <w:rPr>
          <w:rFonts w:cstheme="minorHAnsi"/>
          <w:sz w:val="24"/>
          <w:szCs w:val="24"/>
        </w:rPr>
        <w:t>. On the average, 17.5 glomeruli were examined in</w:t>
      </w:r>
      <w:r w:rsidR="009A00B2">
        <w:rPr>
          <w:rFonts w:cstheme="minorHAnsi"/>
          <w:sz w:val="24"/>
          <w:szCs w:val="24"/>
        </w:rPr>
        <w:t xml:space="preserve"> each biopsy,</w:t>
      </w:r>
      <w:r w:rsidRPr="00D908C6">
        <w:rPr>
          <w:rFonts w:cstheme="minorHAnsi"/>
          <w:sz w:val="24"/>
          <w:szCs w:val="24"/>
        </w:rPr>
        <w:t xml:space="preserve"> with range of 0-39.  </w:t>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b/>
          <w:i/>
          <w:sz w:val="24"/>
          <w:szCs w:val="24"/>
        </w:rPr>
      </w:pPr>
      <w:proofErr w:type="gramStart"/>
      <w:r w:rsidRPr="00D908C6">
        <w:rPr>
          <w:rFonts w:cstheme="minorHAnsi"/>
          <w:b/>
          <w:i/>
          <w:sz w:val="24"/>
          <w:szCs w:val="24"/>
        </w:rPr>
        <w:t>Discussion.</w:t>
      </w:r>
      <w:proofErr w:type="gramEnd"/>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Percutaneous renal biopsy (PRB) is generally considered a safe procedure in </w:t>
      </w:r>
      <w:proofErr w:type="spellStart"/>
      <w:r w:rsidRPr="00D908C6">
        <w:rPr>
          <w:rFonts w:cstheme="minorHAnsi"/>
          <w:sz w:val="24"/>
          <w:szCs w:val="24"/>
        </w:rPr>
        <w:t>pediatric</w:t>
      </w:r>
      <w:proofErr w:type="spellEnd"/>
      <w:r w:rsidRPr="00D908C6">
        <w:rPr>
          <w:rFonts w:cstheme="minorHAnsi"/>
          <w:sz w:val="24"/>
          <w:szCs w:val="24"/>
        </w:rPr>
        <w:t xml:space="preserve"> patients </w:t>
      </w:r>
      <w:r w:rsidRPr="00D908C6">
        <w:rPr>
          <w:rFonts w:cstheme="minorHAnsi"/>
          <w:sz w:val="24"/>
          <w:szCs w:val="24"/>
          <w:vertAlign w:val="superscript"/>
        </w:rPr>
        <w:t>1</w:t>
      </w:r>
      <w:r w:rsidRPr="00D908C6">
        <w:rPr>
          <w:rFonts w:cstheme="minorHAnsi"/>
          <w:sz w:val="24"/>
          <w:szCs w:val="24"/>
        </w:rPr>
        <w:t xml:space="preserve">. </w:t>
      </w:r>
      <w:proofErr w:type="spellStart"/>
      <w:r w:rsidRPr="00D908C6">
        <w:rPr>
          <w:rFonts w:cstheme="minorHAnsi"/>
          <w:sz w:val="24"/>
          <w:szCs w:val="24"/>
        </w:rPr>
        <w:t>Inspite</w:t>
      </w:r>
      <w:proofErr w:type="spellEnd"/>
      <w:r w:rsidRPr="00D908C6">
        <w:rPr>
          <w:rFonts w:cstheme="minorHAnsi"/>
          <w:sz w:val="24"/>
          <w:szCs w:val="24"/>
        </w:rPr>
        <w:t xml:space="preserve"> of this, the two years under review showed only 19 patients who underwent renal biopsy in our centre. This indicates poor practice of renal biopsy in our centre which is the foremost tertiary health facility in the south </w:t>
      </w:r>
      <w:proofErr w:type="spellStart"/>
      <w:r w:rsidRPr="00D908C6">
        <w:rPr>
          <w:rFonts w:cstheme="minorHAnsi"/>
          <w:sz w:val="24"/>
          <w:szCs w:val="24"/>
        </w:rPr>
        <w:t>south</w:t>
      </w:r>
      <w:proofErr w:type="spellEnd"/>
      <w:r w:rsidRPr="00D908C6">
        <w:rPr>
          <w:rFonts w:cstheme="minorHAnsi"/>
          <w:sz w:val="24"/>
          <w:szCs w:val="24"/>
        </w:rPr>
        <w:t xml:space="preserve"> region of Nigeria, with a catchment of vast population of over 10 million people covering 3 states, of which a significant burden of renal diseases exists. To buttress this point, an earlier study carried out in our centre by </w:t>
      </w:r>
      <w:proofErr w:type="spellStart"/>
      <w:r w:rsidRPr="00D908C6">
        <w:rPr>
          <w:rFonts w:cstheme="minorHAnsi"/>
          <w:sz w:val="24"/>
          <w:szCs w:val="24"/>
        </w:rPr>
        <w:t>Anochie</w:t>
      </w:r>
      <w:proofErr w:type="spellEnd"/>
      <w:r w:rsidRPr="00D908C6">
        <w:rPr>
          <w:rFonts w:cstheme="minorHAnsi"/>
          <w:sz w:val="24"/>
          <w:szCs w:val="24"/>
        </w:rPr>
        <w:t xml:space="preserve"> et al indicated that of 28 children with </w:t>
      </w:r>
      <w:proofErr w:type="spellStart"/>
      <w:r w:rsidRPr="00D908C6">
        <w:rPr>
          <w:rFonts w:cstheme="minorHAnsi"/>
          <w:sz w:val="24"/>
          <w:szCs w:val="24"/>
        </w:rPr>
        <w:t>nephrotic</w:t>
      </w:r>
      <w:proofErr w:type="spellEnd"/>
      <w:r w:rsidRPr="00D908C6">
        <w:rPr>
          <w:rFonts w:cstheme="minorHAnsi"/>
          <w:sz w:val="24"/>
          <w:szCs w:val="24"/>
        </w:rPr>
        <w:t xml:space="preserve"> syndrome, only 4 (14.2%) underwent renal biopsy and therefore had pathological diagnoses. </w:t>
      </w:r>
      <w:r w:rsidRPr="00D908C6">
        <w:rPr>
          <w:rFonts w:cstheme="minorHAnsi"/>
          <w:sz w:val="24"/>
          <w:szCs w:val="24"/>
          <w:vertAlign w:val="superscript"/>
        </w:rPr>
        <w:t>1</w:t>
      </w:r>
      <w:r w:rsidR="00663827">
        <w:rPr>
          <w:rFonts w:cstheme="minorHAnsi"/>
          <w:sz w:val="24"/>
          <w:szCs w:val="24"/>
          <w:vertAlign w:val="superscript"/>
        </w:rPr>
        <w:t>3</w:t>
      </w:r>
      <w:r w:rsidRPr="00D908C6">
        <w:rPr>
          <w:rFonts w:cstheme="minorHAnsi"/>
          <w:sz w:val="24"/>
          <w:szCs w:val="24"/>
        </w:rPr>
        <w:t xml:space="preserve"> Similarly, </w:t>
      </w:r>
      <w:proofErr w:type="spellStart"/>
      <w:r w:rsidRPr="00D908C6">
        <w:rPr>
          <w:rFonts w:cstheme="minorHAnsi"/>
          <w:sz w:val="24"/>
          <w:szCs w:val="24"/>
        </w:rPr>
        <w:t>Asinobi</w:t>
      </w:r>
      <w:proofErr w:type="spellEnd"/>
      <w:r w:rsidRPr="00D908C6">
        <w:rPr>
          <w:rFonts w:cstheme="minorHAnsi"/>
          <w:sz w:val="24"/>
          <w:szCs w:val="24"/>
        </w:rPr>
        <w:t xml:space="preserve"> et al in a study in Ibadan South West of Nigeria over an eight year period (2006-2013) yielded only 56 PRB in children. Although they noted that, not all patients who merited biopsy had the procedure carried out on them as a result of inadequate funding. </w:t>
      </w:r>
      <w:r w:rsidRPr="00D908C6">
        <w:rPr>
          <w:rFonts w:cstheme="minorHAnsi"/>
          <w:sz w:val="24"/>
          <w:szCs w:val="24"/>
          <w:vertAlign w:val="superscript"/>
        </w:rPr>
        <w:t>1</w:t>
      </w:r>
      <w:r w:rsidR="0005563A">
        <w:rPr>
          <w:rFonts w:cstheme="minorHAnsi"/>
          <w:sz w:val="24"/>
          <w:szCs w:val="24"/>
          <w:vertAlign w:val="superscript"/>
        </w:rPr>
        <w:t>4</w:t>
      </w:r>
      <w:r w:rsidRPr="00D908C6">
        <w:rPr>
          <w:rFonts w:cstheme="minorHAnsi"/>
          <w:sz w:val="24"/>
          <w:szCs w:val="24"/>
        </w:rPr>
        <w:t xml:space="preserve"> </w:t>
      </w:r>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Moreover, </w:t>
      </w:r>
      <w:proofErr w:type="spellStart"/>
      <w:r w:rsidRPr="00D908C6">
        <w:rPr>
          <w:rFonts w:cstheme="minorHAnsi"/>
          <w:sz w:val="24"/>
          <w:szCs w:val="24"/>
        </w:rPr>
        <w:t>Okpechi</w:t>
      </w:r>
      <w:proofErr w:type="spellEnd"/>
      <w:r w:rsidRPr="00D908C6">
        <w:rPr>
          <w:rFonts w:cstheme="minorHAnsi"/>
          <w:sz w:val="24"/>
          <w:szCs w:val="24"/>
        </w:rPr>
        <w:t xml:space="preserve"> et al in their epidemiological review and meta-analysis study of renal biops</w:t>
      </w:r>
      <w:r w:rsidR="00DB433C">
        <w:rPr>
          <w:rFonts w:cstheme="minorHAnsi"/>
          <w:sz w:val="24"/>
          <w:szCs w:val="24"/>
        </w:rPr>
        <w:t>ies</w:t>
      </w:r>
      <w:r w:rsidRPr="00D908C6">
        <w:rPr>
          <w:rFonts w:cstheme="minorHAnsi"/>
          <w:sz w:val="24"/>
          <w:szCs w:val="24"/>
        </w:rPr>
        <w:t xml:space="preserve"> observed poor rate of renal biopsies across Africa and attributed this to out of pocket payments for medical services by patients and dearth of skills for renal biopsy performance, handling of tissue and adequate interpretation of histology. </w:t>
      </w:r>
      <w:r w:rsidRPr="00DB433C">
        <w:rPr>
          <w:rFonts w:cstheme="minorHAnsi"/>
          <w:color w:val="FF0000"/>
          <w:sz w:val="24"/>
          <w:szCs w:val="24"/>
        </w:rPr>
        <w:t>1</w:t>
      </w:r>
      <w:r w:rsidR="0005563A">
        <w:rPr>
          <w:rFonts w:cstheme="minorHAnsi"/>
          <w:color w:val="FF0000"/>
          <w:sz w:val="24"/>
          <w:szCs w:val="24"/>
        </w:rPr>
        <w:t>5</w:t>
      </w:r>
      <w:r w:rsidRPr="00D908C6">
        <w:rPr>
          <w:rFonts w:cstheme="minorHAnsi"/>
          <w:sz w:val="24"/>
          <w:szCs w:val="24"/>
        </w:rPr>
        <w:t xml:space="preserve"> However, other studies in other centres in Nigeria have shown significant numbers of renal biopsies, like in Ile Ife South West of Nigeria, a retrospective review showed incidence of 264 biopsies in 10 years while in Kano North West of Nigeria, a similar review revealed 36 renal biopsies in a year. </w:t>
      </w:r>
      <w:r w:rsidRPr="00D908C6">
        <w:rPr>
          <w:rFonts w:cstheme="minorHAnsi"/>
          <w:sz w:val="24"/>
          <w:szCs w:val="24"/>
          <w:vertAlign w:val="superscript"/>
        </w:rPr>
        <w:t>1</w:t>
      </w:r>
      <w:r w:rsidR="0005563A">
        <w:rPr>
          <w:rFonts w:cstheme="minorHAnsi"/>
          <w:sz w:val="24"/>
          <w:szCs w:val="24"/>
          <w:vertAlign w:val="superscript"/>
        </w:rPr>
        <w:t>6, 1</w:t>
      </w:r>
      <w:r w:rsidRPr="00D908C6">
        <w:rPr>
          <w:rFonts w:cstheme="minorHAnsi"/>
          <w:sz w:val="24"/>
          <w:szCs w:val="24"/>
          <w:vertAlign w:val="superscript"/>
        </w:rPr>
        <w:t>7</w:t>
      </w:r>
      <w:r w:rsidRPr="00D908C6">
        <w:rPr>
          <w:rFonts w:cstheme="minorHAnsi"/>
          <w:sz w:val="24"/>
          <w:szCs w:val="24"/>
        </w:rPr>
        <w:t xml:space="preserve"> Selectivity of renal biopsy performance in </w:t>
      </w:r>
      <w:proofErr w:type="spellStart"/>
      <w:r w:rsidRPr="00D908C6">
        <w:rPr>
          <w:rFonts w:cstheme="minorHAnsi"/>
          <w:sz w:val="24"/>
          <w:szCs w:val="24"/>
        </w:rPr>
        <w:t>pediatric</w:t>
      </w:r>
      <w:proofErr w:type="spellEnd"/>
      <w:r w:rsidRPr="00D908C6">
        <w:rPr>
          <w:rFonts w:cstheme="minorHAnsi"/>
          <w:sz w:val="24"/>
          <w:szCs w:val="24"/>
        </w:rPr>
        <w:t xml:space="preserve"> nephrology patients is a global practice that is not restricted to our environment and so will not explain the paucity of biopsies in our centre.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Considering that histological examination of renal biopsy samples is not only fundamental in establishing clinical diagnosis, but provides insight into the histological pattern and prognosis of renal disease and guides treatment, efforts should be intensified by the relevant government agencies and international development partners and donor agencies at ensuring an improvement in the care of nephrology patients especially among the paediatric age group. This can be done through the provision and training of expert manpower in nephrology as well as the essential diagnostic infrastructure like immunofluorescence and electron microscopy.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The mean age of 11.0 years observed in this study while comparing favourably with 11-12 years reported in Ghana, Pakistan and USA </w:t>
      </w:r>
      <w:r w:rsidR="000523AA">
        <w:rPr>
          <w:rFonts w:cstheme="minorHAnsi"/>
          <w:sz w:val="24"/>
          <w:szCs w:val="24"/>
          <w:vertAlign w:val="superscript"/>
        </w:rPr>
        <w:t>18</w:t>
      </w:r>
      <w:r w:rsidRPr="00D908C6">
        <w:rPr>
          <w:rFonts w:cstheme="minorHAnsi"/>
          <w:sz w:val="24"/>
          <w:szCs w:val="24"/>
          <w:vertAlign w:val="superscript"/>
        </w:rPr>
        <w:t>-2</w:t>
      </w:r>
      <w:r w:rsidR="000523AA">
        <w:rPr>
          <w:rFonts w:cstheme="minorHAnsi"/>
          <w:sz w:val="24"/>
          <w:szCs w:val="24"/>
          <w:vertAlign w:val="superscript"/>
        </w:rPr>
        <w:t>0</w:t>
      </w:r>
      <w:r w:rsidRPr="00D908C6">
        <w:rPr>
          <w:rFonts w:cstheme="minorHAnsi"/>
          <w:sz w:val="24"/>
          <w:szCs w:val="24"/>
        </w:rPr>
        <w:t xml:space="preserve">, is well above 7-8 years previously reported in various centres within Nigeria including Zaria, Kano and Enugu </w:t>
      </w:r>
      <w:r w:rsidR="000523AA">
        <w:rPr>
          <w:rFonts w:cstheme="minorHAnsi"/>
          <w:color w:val="FF0000"/>
          <w:sz w:val="24"/>
          <w:szCs w:val="24"/>
        </w:rPr>
        <w:t>17,21,22</w:t>
      </w:r>
      <w:r w:rsidRPr="00663827">
        <w:rPr>
          <w:rFonts w:cstheme="minorHAnsi"/>
          <w:color w:val="FF0000"/>
          <w:sz w:val="24"/>
          <w:szCs w:val="24"/>
        </w:rPr>
        <w:t xml:space="preserve"> </w:t>
      </w:r>
      <w:r w:rsidRPr="00D908C6">
        <w:rPr>
          <w:rFonts w:cstheme="minorHAnsi"/>
          <w:sz w:val="24"/>
          <w:szCs w:val="24"/>
        </w:rPr>
        <w:t xml:space="preserve">as well as in South Africa </w:t>
      </w:r>
      <w:r w:rsidRPr="00D908C6">
        <w:rPr>
          <w:rFonts w:cstheme="minorHAnsi"/>
          <w:sz w:val="24"/>
          <w:szCs w:val="24"/>
          <w:vertAlign w:val="superscript"/>
        </w:rPr>
        <w:t>2</w:t>
      </w:r>
      <w:r w:rsidR="000523AA">
        <w:rPr>
          <w:rFonts w:cstheme="minorHAnsi"/>
          <w:sz w:val="24"/>
          <w:szCs w:val="24"/>
          <w:vertAlign w:val="superscript"/>
        </w:rPr>
        <w:t xml:space="preserve">3 </w:t>
      </w:r>
      <w:r w:rsidRPr="00D908C6">
        <w:rPr>
          <w:rFonts w:cstheme="minorHAnsi"/>
          <w:sz w:val="24"/>
          <w:szCs w:val="24"/>
        </w:rPr>
        <w:t xml:space="preserve">. Other studies even reported lower mean age of 5 years within and outside Nigeria </w:t>
      </w:r>
      <w:r w:rsidR="00BF6D72">
        <w:rPr>
          <w:rFonts w:cstheme="minorHAnsi"/>
          <w:sz w:val="24"/>
          <w:szCs w:val="24"/>
          <w:vertAlign w:val="superscript"/>
        </w:rPr>
        <w:t>13</w:t>
      </w:r>
      <w:proofErr w:type="gramStart"/>
      <w:r w:rsidR="00BF6D72">
        <w:rPr>
          <w:rFonts w:cstheme="minorHAnsi"/>
          <w:sz w:val="24"/>
          <w:szCs w:val="24"/>
          <w:vertAlign w:val="superscript"/>
        </w:rPr>
        <w:t>,24</w:t>
      </w:r>
      <w:proofErr w:type="gramEnd"/>
      <w:r w:rsidRPr="00D908C6">
        <w:rPr>
          <w:rFonts w:cstheme="minorHAnsi"/>
          <w:sz w:val="24"/>
          <w:szCs w:val="24"/>
          <w:vertAlign w:val="superscript"/>
        </w:rPr>
        <w:t>-2</w:t>
      </w:r>
      <w:r w:rsidR="00BF6D72">
        <w:rPr>
          <w:rFonts w:cstheme="minorHAnsi"/>
          <w:sz w:val="24"/>
          <w:szCs w:val="24"/>
          <w:vertAlign w:val="superscript"/>
        </w:rPr>
        <w:t>6</w:t>
      </w:r>
      <w:r w:rsidRPr="00D908C6">
        <w:rPr>
          <w:rFonts w:cstheme="minorHAnsi"/>
          <w:sz w:val="24"/>
          <w:szCs w:val="24"/>
        </w:rPr>
        <w:t>. This marked variation in mean age across different geographic and ethnic divides possibly relates to the differences in the inclusion criteria of the patients or reflect the influence of environment in the pathology of renal disease. The reason behind the steady decrease in number of patients biopsied with increasing age with a sharp increase of cases from 15 years age group with peak of 17 years is unclear to us. However the relatively small sample size of our study may have affected the statistical outcome.</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Gender disparity in kidney biopsy studies is inconsistent and varies across and within geographic and ethnic divides. However, while most reports indicate male predominance, </w:t>
      </w:r>
      <w:r w:rsidR="00BF6D72">
        <w:rPr>
          <w:rFonts w:cstheme="minorHAnsi"/>
          <w:sz w:val="24"/>
          <w:szCs w:val="24"/>
          <w:vertAlign w:val="superscript"/>
        </w:rPr>
        <w:t>16</w:t>
      </w:r>
      <w:proofErr w:type="gramStart"/>
      <w:r w:rsidR="00BF6D72">
        <w:rPr>
          <w:rFonts w:cstheme="minorHAnsi"/>
          <w:sz w:val="24"/>
          <w:szCs w:val="24"/>
          <w:vertAlign w:val="superscript"/>
        </w:rPr>
        <w:t>,17,27</w:t>
      </w:r>
      <w:proofErr w:type="gramEnd"/>
      <w:r w:rsidR="00BF6D72">
        <w:rPr>
          <w:rFonts w:cstheme="minorHAnsi"/>
          <w:sz w:val="24"/>
          <w:szCs w:val="24"/>
          <w:vertAlign w:val="superscript"/>
        </w:rPr>
        <w:t>, 28</w:t>
      </w:r>
      <w:r w:rsidR="002874AF">
        <w:rPr>
          <w:rFonts w:cstheme="minorHAnsi"/>
          <w:sz w:val="24"/>
          <w:szCs w:val="24"/>
        </w:rPr>
        <w:t xml:space="preserve"> few</w:t>
      </w:r>
      <w:r w:rsidRPr="00D908C6">
        <w:rPr>
          <w:rFonts w:cstheme="minorHAnsi"/>
          <w:sz w:val="24"/>
          <w:szCs w:val="24"/>
        </w:rPr>
        <w:t xml:space="preserve"> reported female preponderance </w:t>
      </w:r>
      <w:r w:rsidR="002874AF">
        <w:rPr>
          <w:rFonts w:cstheme="minorHAnsi"/>
          <w:sz w:val="24"/>
          <w:szCs w:val="24"/>
          <w:vertAlign w:val="superscript"/>
        </w:rPr>
        <w:t>29</w:t>
      </w:r>
      <w:r w:rsidR="002874AF">
        <w:rPr>
          <w:rFonts w:cstheme="minorHAnsi"/>
          <w:sz w:val="24"/>
          <w:szCs w:val="24"/>
        </w:rPr>
        <w:t xml:space="preserve"> and yet another</w:t>
      </w:r>
      <w:r w:rsidRPr="00D908C6">
        <w:rPr>
          <w:rFonts w:cstheme="minorHAnsi"/>
          <w:sz w:val="24"/>
          <w:szCs w:val="24"/>
        </w:rPr>
        <w:t xml:space="preserve"> show equal sex </w:t>
      </w:r>
      <w:r w:rsidRPr="00D908C6">
        <w:rPr>
          <w:rFonts w:cstheme="minorHAnsi"/>
          <w:sz w:val="24"/>
          <w:szCs w:val="24"/>
        </w:rPr>
        <w:lastRenderedPageBreak/>
        <w:t xml:space="preserve">predilection. </w:t>
      </w:r>
      <w:r w:rsidR="002874AF">
        <w:rPr>
          <w:rFonts w:cstheme="minorHAnsi"/>
          <w:sz w:val="24"/>
          <w:szCs w:val="24"/>
          <w:vertAlign w:val="superscript"/>
        </w:rPr>
        <w:t>13</w:t>
      </w:r>
      <w:r w:rsidRPr="00D908C6">
        <w:rPr>
          <w:rFonts w:cstheme="minorHAnsi"/>
          <w:sz w:val="24"/>
          <w:szCs w:val="24"/>
        </w:rPr>
        <w:t xml:space="preserve"> Our marginal predominance of females over males on the overall is therefore agreeable with a few previous studies carried out outside Nigeria but not consistent with the majority of study findings within and outside Nigeria. This may imply that </w:t>
      </w:r>
      <w:r w:rsidR="004A04E5">
        <w:rPr>
          <w:rFonts w:cstheme="minorHAnsi"/>
          <w:sz w:val="24"/>
          <w:szCs w:val="24"/>
        </w:rPr>
        <w:t xml:space="preserve">the erstwhile </w:t>
      </w:r>
      <w:r w:rsidRPr="00D908C6">
        <w:rPr>
          <w:rFonts w:cstheme="minorHAnsi"/>
          <w:sz w:val="24"/>
          <w:szCs w:val="24"/>
        </w:rPr>
        <w:t xml:space="preserve">notion that parenchymal renal damage and the resultant chronic renal disease </w:t>
      </w:r>
      <w:proofErr w:type="gramStart"/>
      <w:r w:rsidRPr="00D908C6">
        <w:rPr>
          <w:rFonts w:cstheme="minorHAnsi"/>
          <w:sz w:val="24"/>
          <w:szCs w:val="24"/>
        </w:rPr>
        <w:t>is</w:t>
      </w:r>
      <w:proofErr w:type="gramEnd"/>
      <w:r w:rsidRPr="00D908C6">
        <w:rPr>
          <w:rFonts w:cstheme="minorHAnsi"/>
          <w:sz w:val="24"/>
          <w:szCs w:val="24"/>
        </w:rPr>
        <w:t xml:space="preserve"> more common in males is not obtainable in our centre. This is more so as the previous researchers from our centre have found equal male and female involvement in paediatric nephrology patients.</w:t>
      </w:r>
      <w:r w:rsidR="004A04E5">
        <w:rPr>
          <w:rFonts w:cstheme="minorHAnsi"/>
          <w:sz w:val="24"/>
          <w:szCs w:val="24"/>
        </w:rPr>
        <w:t xml:space="preserve"> </w:t>
      </w:r>
      <w:r w:rsidR="004A04E5" w:rsidRPr="004A04E5">
        <w:rPr>
          <w:rFonts w:cstheme="minorHAnsi"/>
          <w:color w:val="FF0000"/>
          <w:sz w:val="24"/>
          <w:szCs w:val="24"/>
        </w:rPr>
        <w:t>13</w:t>
      </w:r>
      <w:r w:rsidRPr="00D908C6">
        <w:rPr>
          <w:rFonts w:cstheme="minorHAnsi"/>
          <w:sz w:val="24"/>
          <w:szCs w:val="24"/>
        </w:rPr>
        <w:t xml:space="preserve"> The predominance of females among patients with proliferative glomerular lesions is also striking and is in keeping with the findings by </w:t>
      </w:r>
      <w:proofErr w:type="spellStart"/>
      <w:r w:rsidRPr="00D908C6">
        <w:rPr>
          <w:rFonts w:cstheme="minorHAnsi"/>
          <w:sz w:val="24"/>
          <w:szCs w:val="24"/>
        </w:rPr>
        <w:t>Onwubuya</w:t>
      </w:r>
      <w:proofErr w:type="spellEnd"/>
      <w:r w:rsidRPr="00D908C6">
        <w:rPr>
          <w:rFonts w:cstheme="minorHAnsi"/>
          <w:sz w:val="24"/>
          <w:szCs w:val="24"/>
        </w:rPr>
        <w:t xml:space="preserve"> et al in Ile Ife w</w:t>
      </w:r>
      <w:r w:rsidR="004A04E5">
        <w:rPr>
          <w:rFonts w:cstheme="minorHAnsi"/>
          <w:sz w:val="24"/>
          <w:szCs w:val="24"/>
        </w:rPr>
        <w:t>ho</w:t>
      </w:r>
      <w:r w:rsidRPr="00D908C6">
        <w:rPr>
          <w:rFonts w:cstheme="minorHAnsi"/>
          <w:sz w:val="24"/>
          <w:szCs w:val="24"/>
        </w:rPr>
        <w:t xml:space="preserve"> reported that of all the glomerular lesions encountered in the study, only MSPGN showed a higher number of cases in females. </w:t>
      </w:r>
      <w:r w:rsidRPr="00D908C6">
        <w:rPr>
          <w:rFonts w:cstheme="minorHAnsi"/>
          <w:sz w:val="24"/>
          <w:szCs w:val="24"/>
          <w:vertAlign w:val="superscript"/>
        </w:rPr>
        <w:t>17</w:t>
      </w:r>
      <w:r w:rsidR="004A04E5">
        <w:rPr>
          <w:rFonts w:cstheme="minorHAnsi"/>
          <w:sz w:val="24"/>
          <w:szCs w:val="24"/>
        </w:rPr>
        <w:t xml:space="preserve"> T</w:t>
      </w:r>
      <w:r w:rsidRPr="00D908C6">
        <w:rPr>
          <w:rFonts w:cstheme="minorHAnsi"/>
          <w:sz w:val="24"/>
          <w:szCs w:val="24"/>
        </w:rPr>
        <w:t>he predominance of proliferative lesions in females</w:t>
      </w:r>
      <w:r w:rsidR="004A04E5">
        <w:rPr>
          <w:rFonts w:cstheme="minorHAnsi"/>
          <w:sz w:val="24"/>
          <w:szCs w:val="24"/>
        </w:rPr>
        <w:t xml:space="preserve"> was attributed</w:t>
      </w:r>
      <w:r w:rsidRPr="00D908C6">
        <w:rPr>
          <w:rFonts w:cstheme="minorHAnsi"/>
          <w:sz w:val="24"/>
          <w:szCs w:val="24"/>
        </w:rPr>
        <w:t xml:space="preserve"> to the relatively high proportion of lupus nephritis in those studies </w:t>
      </w:r>
      <w:r w:rsidR="002874AF">
        <w:rPr>
          <w:rFonts w:cstheme="minorHAnsi"/>
          <w:sz w:val="24"/>
          <w:szCs w:val="24"/>
          <w:vertAlign w:val="superscript"/>
        </w:rPr>
        <w:t>16</w:t>
      </w:r>
      <w:proofErr w:type="gramStart"/>
      <w:r w:rsidR="002874AF">
        <w:rPr>
          <w:rFonts w:cstheme="minorHAnsi"/>
          <w:sz w:val="24"/>
          <w:szCs w:val="24"/>
          <w:vertAlign w:val="superscript"/>
        </w:rPr>
        <w:t>,27</w:t>
      </w:r>
      <w:r w:rsidRPr="00D908C6">
        <w:rPr>
          <w:rFonts w:cstheme="minorHAnsi"/>
          <w:sz w:val="24"/>
          <w:szCs w:val="24"/>
          <w:vertAlign w:val="superscript"/>
        </w:rPr>
        <w:t>,3</w:t>
      </w:r>
      <w:r w:rsidR="002874AF">
        <w:rPr>
          <w:rFonts w:cstheme="minorHAnsi"/>
          <w:sz w:val="24"/>
          <w:szCs w:val="24"/>
          <w:vertAlign w:val="superscript"/>
        </w:rPr>
        <w:t>0</w:t>
      </w:r>
      <w:proofErr w:type="gramEnd"/>
      <w:r w:rsidRPr="00D908C6">
        <w:rPr>
          <w:rFonts w:cstheme="minorHAnsi"/>
          <w:sz w:val="24"/>
          <w:szCs w:val="24"/>
        </w:rPr>
        <w:t xml:space="preserve">. This was not true in our study as none of the cases had lupus.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Globally, there is poor consensus </w:t>
      </w:r>
      <w:r w:rsidR="002874AF">
        <w:rPr>
          <w:rFonts w:cstheme="minorHAnsi"/>
          <w:sz w:val="24"/>
          <w:szCs w:val="24"/>
        </w:rPr>
        <w:t>on the indications of PRB</w:t>
      </w:r>
      <w:r w:rsidRPr="00D908C6">
        <w:rPr>
          <w:rFonts w:cstheme="minorHAnsi"/>
          <w:sz w:val="24"/>
          <w:szCs w:val="24"/>
        </w:rPr>
        <w:t xml:space="preserve"> with the attending consequence that renal biopsy performance is based on personal opinion and/or single-</w:t>
      </w:r>
      <w:proofErr w:type="spellStart"/>
      <w:r w:rsidRPr="00D908C6">
        <w:rPr>
          <w:rFonts w:cstheme="minorHAnsi"/>
          <w:sz w:val="24"/>
          <w:szCs w:val="24"/>
        </w:rPr>
        <w:t>center</w:t>
      </w:r>
      <w:proofErr w:type="spellEnd"/>
      <w:r w:rsidRPr="00D908C6">
        <w:rPr>
          <w:rFonts w:cstheme="minorHAnsi"/>
          <w:sz w:val="24"/>
          <w:szCs w:val="24"/>
        </w:rPr>
        <w:t xml:space="preserve"> policies. </w:t>
      </w:r>
      <w:r w:rsidRPr="00D908C6">
        <w:rPr>
          <w:rFonts w:cstheme="minorHAnsi"/>
          <w:sz w:val="24"/>
          <w:szCs w:val="24"/>
          <w:vertAlign w:val="superscript"/>
        </w:rPr>
        <w:t>3</w:t>
      </w:r>
      <w:r w:rsidR="002874AF">
        <w:rPr>
          <w:rFonts w:cstheme="minorHAnsi"/>
          <w:sz w:val="24"/>
          <w:szCs w:val="24"/>
          <w:vertAlign w:val="superscript"/>
        </w:rPr>
        <w:t>1</w:t>
      </w:r>
      <w:r w:rsidRPr="00D908C6">
        <w:rPr>
          <w:rFonts w:cstheme="minorHAnsi"/>
          <w:sz w:val="24"/>
          <w:szCs w:val="24"/>
        </w:rPr>
        <w:t xml:space="preserve"> For instance, in Ibadan, there has been a shift in the indication in paediatric patients based on time trend of prevailing causes of </w:t>
      </w:r>
      <w:proofErr w:type="spellStart"/>
      <w:r w:rsidRPr="00D908C6">
        <w:rPr>
          <w:rFonts w:cstheme="minorHAnsi"/>
          <w:sz w:val="24"/>
          <w:szCs w:val="24"/>
        </w:rPr>
        <w:t>nephrotic</w:t>
      </w:r>
      <w:proofErr w:type="spellEnd"/>
      <w:r w:rsidRPr="00D908C6">
        <w:rPr>
          <w:rFonts w:cstheme="minorHAnsi"/>
          <w:sz w:val="24"/>
          <w:szCs w:val="24"/>
        </w:rPr>
        <w:t xml:space="preserve"> syndrome. </w:t>
      </w:r>
      <w:r w:rsidRPr="00D908C6">
        <w:rPr>
          <w:rFonts w:cstheme="minorHAnsi"/>
          <w:sz w:val="24"/>
          <w:szCs w:val="24"/>
          <w:vertAlign w:val="superscript"/>
        </w:rPr>
        <w:t>1</w:t>
      </w:r>
      <w:r w:rsidR="002874AF">
        <w:rPr>
          <w:rFonts w:cstheme="minorHAnsi"/>
          <w:sz w:val="24"/>
          <w:szCs w:val="24"/>
          <w:vertAlign w:val="superscript"/>
        </w:rPr>
        <w:t>4</w:t>
      </w:r>
      <w:r w:rsidRPr="00D908C6">
        <w:rPr>
          <w:rFonts w:cstheme="minorHAnsi"/>
          <w:sz w:val="24"/>
          <w:szCs w:val="24"/>
        </w:rPr>
        <w:t xml:space="preserve"> In most similar studies in Nigeria including our centre, </w:t>
      </w:r>
      <w:proofErr w:type="spellStart"/>
      <w:r w:rsidRPr="00D908C6">
        <w:rPr>
          <w:rFonts w:cstheme="minorHAnsi"/>
          <w:sz w:val="24"/>
          <w:szCs w:val="24"/>
        </w:rPr>
        <w:t>nephrotic</w:t>
      </w:r>
      <w:proofErr w:type="spellEnd"/>
      <w:r w:rsidRPr="00D908C6">
        <w:rPr>
          <w:rFonts w:cstheme="minorHAnsi"/>
          <w:sz w:val="24"/>
          <w:szCs w:val="24"/>
        </w:rPr>
        <w:t xml:space="preserve"> syndrome remained the most frequent indication for PRB. In this study, steroid dependent </w:t>
      </w:r>
      <w:proofErr w:type="spellStart"/>
      <w:r w:rsidRPr="00D908C6">
        <w:rPr>
          <w:rFonts w:cstheme="minorHAnsi"/>
          <w:sz w:val="24"/>
          <w:szCs w:val="24"/>
        </w:rPr>
        <w:t>nephrotic</w:t>
      </w:r>
      <w:proofErr w:type="spellEnd"/>
      <w:r w:rsidRPr="00D908C6">
        <w:rPr>
          <w:rFonts w:cstheme="minorHAnsi"/>
          <w:sz w:val="24"/>
          <w:szCs w:val="24"/>
        </w:rPr>
        <w:t xml:space="preserve"> syndrome (SDNS) constituted 57.9% and steroid resistant constituted 42.1%.  The earlier clinical studies carried out in my centre indicated high level of steroid response. </w:t>
      </w:r>
      <w:r w:rsidR="002874AF">
        <w:rPr>
          <w:rFonts w:cstheme="minorHAnsi"/>
          <w:sz w:val="24"/>
          <w:szCs w:val="24"/>
          <w:vertAlign w:val="superscript"/>
        </w:rPr>
        <w:t>13</w:t>
      </w:r>
      <w:r w:rsidRPr="00D908C6">
        <w:rPr>
          <w:rFonts w:cstheme="minorHAnsi"/>
          <w:sz w:val="24"/>
          <w:szCs w:val="24"/>
          <w:vertAlign w:val="superscript"/>
        </w:rPr>
        <w:t>,2</w:t>
      </w:r>
      <w:r w:rsidR="002874AF">
        <w:rPr>
          <w:rFonts w:cstheme="minorHAnsi"/>
          <w:sz w:val="24"/>
          <w:szCs w:val="24"/>
          <w:vertAlign w:val="superscript"/>
        </w:rPr>
        <w:t>4</w:t>
      </w:r>
      <w:r w:rsidRPr="00D908C6">
        <w:rPr>
          <w:rFonts w:cstheme="minorHAnsi"/>
          <w:sz w:val="24"/>
          <w:szCs w:val="24"/>
        </w:rPr>
        <w:t>. Since the steroid responsive patients could become steroid dependent over time, our finding of more cases of steroid dependent than responsive is consistent with the earlier studies carried out in our centre. On the contrary, studies conducted in Ib</w:t>
      </w:r>
      <w:r w:rsidR="002874AF">
        <w:rPr>
          <w:rFonts w:cstheme="minorHAnsi"/>
          <w:sz w:val="24"/>
          <w:szCs w:val="24"/>
        </w:rPr>
        <w:t>adan and Kano, Nigeria as well as India</w:t>
      </w:r>
      <w:r w:rsidRPr="00D908C6">
        <w:rPr>
          <w:rFonts w:cstheme="minorHAnsi"/>
          <w:sz w:val="24"/>
          <w:szCs w:val="24"/>
        </w:rPr>
        <w:t xml:space="preserve"> showed preponderance of SRNS over SDNS </w:t>
      </w:r>
      <w:r w:rsidR="002874AF">
        <w:rPr>
          <w:rFonts w:cstheme="minorHAnsi"/>
          <w:sz w:val="24"/>
          <w:szCs w:val="24"/>
          <w:vertAlign w:val="superscript"/>
        </w:rPr>
        <w:t>14</w:t>
      </w:r>
      <w:proofErr w:type="gramStart"/>
      <w:r w:rsidR="002874AF">
        <w:rPr>
          <w:rFonts w:cstheme="minorHAnsi"/>
          <w:sz w:val="24"/>
          <w:szCs w:val="24"/>
          <w:vertAlign w:val="superscript"/>
        </w:rPr>
        <w:t>,17</w:t>
      </w:r>
      <w:proofErr w:type="gramEnd"/>
      <w:r w:rsidR="002874AF">
        <w:rPr>
          <w:rFonts w:cstheme="minorHAnsi"/>
          <w:sz w:val="24"/>
          <w:szCs w:val="24"/>
          <w:vertAlign w:val="superscript"/>
        </w:rPr>
        <w:t>, 26</w:t>
      </w:r>
      <w:r w:rsidRPr="00D908C6">
        <w:rPr>
          <w:rFonts w:cstheme="minorHAnsi"/>
          <w:sz w:val="24"/>
          <w:szCs w:val="24"/>
        </w:rPr>
        <w:t xml:space="preserve">. In some western countries including France, Finland and Italy, the commonest indication </w:t>
      </w:r>
      <w:r w:rsidR="004A04E5">
        <w:rPr>
          <w:rFonts w:cstheme="minorHAnsi"/>
          <w:sz w:val="24"/>
          <w:szCs w:val="24"/>
        </w:rPr>
        <w:t xml:space="preserve">for PRB is </w:t>
      </w:r>
      <w:r w:rsidRPr="00D908C6">
        <w:rPr>
          <w:rFonts w:cstheme="minorHAnsi"/>
          <w:sz w:val="24"/>
          <w:szCs w:val="24"/>
        </w:rPr>
        <w:t xml:space="preserve">asymptomatic urinary abnormalities (AUA) </w:t>
      </w:r>
      <w:r w:rsidRPr="00D908C6">
        <w:rPr>
          <w:rFonts w:cstheme="minorHAnsi"/>
          <w:sz w:val="24"/>
          <w:szCs w:val="24"/>
          <w:vertAlign w:val="superscript"/>
        </w:rPr>
        <w:t>3</w:t>
      </w:r>
      <w:r w:rsidR="002874AF">
        <w:rPr>
          <w:rFonts w:cstheme="minorHAnsi"/>
          <w:sz w:val="24"/>
          <w:szCs w:val="24"/>
          <w:vertAlign w:val="superscript"/>
        </w:rPr>
        <w:t>1</w:t>
      </w:r>
      <w:r w:rsidRPr="00D908C6">
        <w:rPr>
          <w:rFonts w:cstheme="minorHAnsi"/>
          <w:sz w:val="24"/>
          <w:szCs w:val="24"/>
        </w:rPr>
        <w:t>.</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The higher occurrence of hypertension and </w:t>
      </w:r>
      <w:proofErr w:type="spellStart"/>
      <w:r w:rsidRPr="00D908C6">
        <w:rPr>
          <w:rFonts w:cstheme="minorHAnsi"/>
          <w:sz w:val="24"/>
          <w:szCs w:val="24"/>
        </w:rPr>
        <w:t>hematuria</w:t>
      </w:r>
      <w:proofErr w:type="spellEnd"/>
      <w:r w:rsidRPr="00D908C6">
        <w:rPr>
          <w:rFonts w:cstheme="minorHAnsi"/>
          <w:sz w:val="24"/>
          <w:szCs w:val="24"/>
        </w:rPr>
        <w:t xml:space="preserve"> in SDNS contrasts with the work done in Kano</w:t>
      </w:r>
      <w:r w:rsidR="004A04E5">
        <w:rPr>
          <w:rFonts w:cstheme="minorHAnsi"/>
          <w:sz w:val="24"/>
          <w:szCs w:val="24"/>
        </w:rPr>
        <w:t>, Nigeria</w:t>
      </w:r>
      <w:r w:rsidRPr="00D908C6">
        <w:rPr>
          <w:rFonts w:cstheme="minorHAnsi"/>
          <w:sz w:val="24"/>
          <w:szCs w:val="24"/>
        </w:rPr>
        <w:t xml:space="preserve"> which showed that 80% of SRNS patients had </w:t>
      </w:r>
      <w:proofErr w:type="spellStart"/>
      <w:r w:rsidRPr="00D908C6">
        <w:rPr>
          <w:rFonts w:cstheme="minorHAnsi"/>
          <w:sz w:val="24"/>
          <w:szCs w:val="24"/>
        </w:rPr>
        <w:t>hematuria</w:t>
      </w:r>
      <w:proofErr w:type="spellEnd"/>
      <w:r w:rsidRPr="00D908C6">
        <w:rPr>
          <w:rFonts w:cstheme="minorHAnsi"/>
          <w:sz w:val="24"/>
          <w:szCs w:val="24"/>
        </w:rPr>
        <w:t xml:space="preserve">. </w:t>
      </w:r>
      <w:r w:rsidRPr="00D908C6">
        <w:rPr>
          <w:rFonts w:cstheme="minorHAnsi"/>
          <w:sz w:val="24"/>
          <w:szCs w:val="24"/>
          <w:vertAlign w:val="superscript"/>
        </w:rPr>
        <w:t>1</w:t>
      </w:r>
      <w:r w:rsidR="003E3A47">
        <w:rPr>
          <w:rFonts w:cstheme="minorHAnsi"/>
          <w:sz w:val="24"/>
          <w:szCs w:val="24"/>
          <w:vertAlign w:val="superscript"/>
        </w:rPr>
        <w:t>7</w:t>
      </w:r>
      <w:r w:rsidRPr="00D908C6">
        <w:rPr>
          <w:rFonts w:cstheme="minorHAnsi"/>
          <w:sz w:val="24"/>
          <w:szCs w:val="24"/>
        </w:rPr>
        <w:t xml:space="preserve"> This difference is probably related to environmental influence on the different</w:t>
      </w:r>
      <w:r w:rsidR="004A04E5">
        <w:rPr>
          <w:rFonts w:cstheme="minorHAnsi"/>
          <w:sz w:val="24"/>
          <w:szCs w:val="24"/>
        </w:rPr>
        <w:t xml:space="preserve"> study</w:t>
      </w:r>
      <w:r w:rsidRPr="00D908C6">
        <w:rPr>
          <w:rFonts w:cstheme="minorHAnsi"/>
          <w:sz w:val="24"/>
          <w:szCs w:val="24"/>
        </w:rPr>
        <w:t xml:space="preserve"> population</w:t>
      </w:r>
      <w:r w:rsidR="004A04E5">
        <w:rPr>
          <w:rFonts w:cstheme="minorHAnsi"/>
          <w:sz w:val="24"/>
          <w:szCs w:val="24"/>
        </w:rPr>
        <w:t>s</w:t>
      </w:r>
      <w:r w:rsidRPr="00D908C6">
        <w:rPr>
          <w:rFonts w:cstheme="minorHAnsi"/>
          <w:sz w:val="24"/>
          <w:szCs w:val="24"/>
        </w:rPr>
        <w:t xml:space="preserve">. Overall, oliguria is not common and the majority of the cases recorded were seen among the collapsing </w:t>
      </w:r>
      <w:proofErr w:type="spellStart"/>
      <w:r w:rsidRPr="00D908C6">
        <w:rPr>
          <w:rFonts w:cstheme="minorHAnsi"/>
          <w:sz w:val="24"/>
          <w:szCs w:val="24"/>
        </w:rPr>
        <w:t>glomerulopathy</w:t>
      </w:r>
      <w:proofErr w:type="spellEnd"/>
      <w:r w:rsidRPr="00D908C6">
        <w:rPr>
          <w:rFonts w:cstheme="minorHAnsi"/>
          <w:sz w:val="24"/>
          <w:szCs w:val="24"/>
        </w:rPr>
        <w:t>.</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That all the biopsies were on native kidneys, devoid of allograft biopsy is consistent with most other studies earlier carried out in Nigeria. This suggests that kidney replacement therapy is still alien in Nigeria especially among the paediatric age group.</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Of the four normal histologic compartments of the kidney, glomerular lesions were the underlying pathology in all the cases in our study. This is consistent with reports from previous researchers and underscores the importance of glomerular lesions in the pathogenesis of kidney disease especially in children. </w:t>
      </w:r>
      <w:r w:rsidR="003E3A47">
        <w:rPr>
          <w:rFonts w:cstheme="minorHAnsi"/>
          <w:sz w:val="24"/>
          <w:szCs w:val="24"/>
          <w:vertAlign w:val="superscript"/>
        </w:rPr>
        <w:t>16</w:t>
      </w:r>
      <w:proofErr w:type="gramStart"/>
      <w:r w:rsidR="003E3A47">
        <w:rPr>
          <w:rFonts w:cstheme="minorHAnsi"/>
          <w:sz w:val="24"/>
          <w:szCs w:val="24"/>
          <w:vertAlign w:val="superscript"/>
        </w:rPr>
        <w:t>,32,33</w:t>
      </w:r>
      <w:proofErr w:type="gramEnd"/>
      <w:r w:rsidR="003E3A47">
        <w:rPr>
          <w:rFonts w:cstheme="minorHAnsi"/>
          <w:sz w:val="24"/>
          <w:szCs w:val="24"/>
        </w:rPr>
        <w:t xml:space="preserve"> </w:t>
      </w:r>
      <w:r w:rsidRPr="00D908C6">
        <w:rPr>
          <w:rFonts w:cstheme="minorHAnsi"/>
          <w:sz w:val="24"/>
          <w:szCs w:val="24"/>
        </w:rPr>
        <w:t xml:space="preserve">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Grouping the microscopic diagnoses of the glomerular lesions into proliferative lesions, was based on the presence of inflammatory activity which together with the associated increase in the number of endothelial cells, or </w:t>
      </w:r>
      <w:proofErr w:type="spellStart"/>
      <w:r w:rsidRPr="00D908C6">
        <w:rPr>
          <w:rFonts w:cstheme="minorHAnsi"/>
          <w:sz w:val="24"/>
          <w:szCs w:val="24"/>
        </w:rPr>
        <w:t>mesangial</w:t>
      </w:r>
      <w:proofErr w:type="spellEnd"/>
      <w:r w:rsidRPr="00D908C6">
        <w:rPr>
          <w:rFonts w:cstheme="minorHAnsi"/>
          <w:sz w:val="24"/>
          <w:szCs w:val="24"/>
        </w:rPr>
        <w:t xml:space="preserve"> cells present the picture of </w:t>
      </w:r>
      <w:proofErr w:type="spellStart"/>
      <w:r w:rsidRPr="00D908C6">
        <w:rPr>
          <w:rFonts w:cstheme="minorHAnsi"/>
          <w:sz w:val="24"/>
          <w:szCs w:val="24"/>
        </w:rPr>
        <w:t>hypercellular</w:t>
      </w:r>
      <w:proofErr w:type="spellEnd"/>
      <w:r w:rsidRPr="00D908C6">
        <w:rPr>
          <w:rFonts w:cstheme="minorHAnsi"/>
          <w:sz w:val="24"/>
          <w:szCs w:val="24"/>
        </w:rPr>
        <w:t xml:space="preserve"> glomerular tuft on LM. They are composed of </w:t>
      </w:r>
      <w:proofErr w:type="spellStart"/>
      <w:r w:rsidRPr="00D908C6">
        <w:rPr>
          <w:rFonts w:cstheme="minorHAnsi"/>
          <w:sz w:val="24"/>
          <w:szCs w:val="24"/>
        </w:rPr>
        <w:t>membranoproliferative</w:t>
      </w:r>
      <w:proofErr w:type="spellEnd"/>
      <w:r w:rsidRPr="00D908C6">
        <w:rPr>
          <w:rFonts w:cstheme="minorHAnsi"/>
          <w:sz w:val="24"/>
          <w:szCs w:val="24"/>
        </w:rPr>
        <w:t xml:space="preserve"> glomerulonephritis (MPGN), </w:t>
      </w:r>
      <w:proofErr w:type="spellStart"/>
      <w:r w:rsidRPr="00D908C6">
        <w:rPr>
          <w:rFonts w:cstheme="minorHAnsi"/>
          <w:sz w:val="24"/>
          <w:szCs w:val="24"/>
        </w:rPr>
        <w:t>mesangioproliferative</w:t>
      </w:r>
      <w:proofErr w:type="spellEnd"/>
      <w:r w:rsidRPr="00D908C6">
        <w:rPr>
          <w:rFonts w:cstheme="minorHAnsi"/>
          <w:sz w:val="24"/>
          <w:szCs w:val="24"/>
        </w:rPr>
        <w:t xml:space="preserve"> glomerulonephritis (MSPGN) and MPGN with collapsing </w:t>
      </w:r>
      <w:proofErr w:type="spellStart"/>
      <w:r w:rsidRPr="00D908C6">
        <w:rPr>
          <w:rFonts w:cstheme="minorHAnsi"/>
          <w:sz w:val="24"/>
          <w:szCs w:val="24"/>
        </w:rPr>
        <w:t>glomerulopathy</w:t>
      </w:r>
      <w:proofErr w:type="spellEnd"/>
      <w:r w:rsidRPr="00D908C6">
        <w:rPr>
          <w:rFonts w:cstheme="minorHAnsi"/>
          <w:sz w:val="24"/>
          <w:szCs w:val="24"/>
        </w:rPr>
        <w:t xml:space="preserve"> (MPGN +CG) while the non-proliferative lesions included minimal change </w:t>
      </w:r>
      <w:r w:rsidRPr="00D908C6">
        <w:rPr>
          <w:rFonts w:cstheme="minorHAnsi"/>
          <w:sz w:val="24"/>
          <w:szCs w:val="24"/>
        </w:rPr>
        <w:lastRenderedPageBreak/>
        <w:t xml:space="preserve">disease (MCD), Focal segmental </w:t>
      </w:r>
      <w:proofErr w:type="spellStart"/>
      <w:r w:rsidRPr="00D908C6">
        <w:rPr>
          <w:rFonts w:cstheme="minorHAnsi"/>
          <w:sz w:val="24"/>
          <w:szCs w:val="24"/>
        </w:rPr>
        <w:t>glomerulosclerosis</w:t>
      </w:r>
      <w:proofErr w:type="spellEnd"/>
      <w:r w:rsidRPr="00D908C6">
        <w:rPr>
          <w:rFonts w:cstheme="minorHAnsi"/>
          <w:sz w:val="24"/>
          <w:szCs w:val="24"/>
        </w:rPr>
        <w:t xml:space="preserve"> (FSGS) and collapsing </w:t>
      </w:r>
      <w:proofErr w:type="spellStart"/>
      <w:r w:rsidRPr="00D908C6">
        <w:rPr>
          <w:rFonts w:cstheme="minorHAnsi"/>
          <w:sz w:val="24"/>
          <w:szCs w:val="24"/>
        </w:rPr>
        <w:t>glomerulopathy</w:t>
      </w:r>
      <w:proofErr w:type="spellEnd"/>
      <w:r w:rsidRPr="00D908C6">
        <w:rPr>
          <w:rFonts w:cstheme="minorHAnsi"/>
          <w:sz w:val="24"/>
          <w:szCs w:val="24"/>
        </w:rPr>
        <w:t xml:space="preserve"> (CG).</w:t>
      </w:r>
    </w:p>
    <w:p w:rsidR="00117D2B" w:rsidRPr="00D908C6" w:rsidRDefault="00E85834" w:rsidP="00756524">
      <w:pPr>
        <w:spacing w:line="240" w:lineRule="auto"/>
        <w:jc w:val="both"/>
        <w:rPr>
          <w:rFonts w:cstheme="minorHAnsi"/>
          <w:sz w:val="24"/>
          <w:szCs w:val="24"/>
        </w:rPr>
      </w:pPr>
      <w:r w:rsidRPr="00D908C6">
        <w:rPr>
          <w:rFonts w:cstheme="minorHAnsi"/>
          <w:sz w:val="24"/>
          <w:szCs w:val="24"/>
        </w:rPr>
        <w:t xml:space="preserve">In their review study of proliferative glomerulonephritis in New York, </w:t>
      </w:r>
      <w:proofErr w:type="spellStart"/>
      <w:r w:rsidRPr="00D908C6">
        <w:rPr>
          <w:rFonts w:cstheme="minorHAnsi"/>
          <w:sz w:val="24"/>
          <w:szCs w:val="24"/>
        </w:rPr>
        <w:t>Samih</w:t>
      </w:r>
      <w:proofErr w:type="spellEnd"/>
      <w:r w:rsidRPr="00D908C6">
        <w:rPr>
          <w:rFonts w:cstheme="minorHAnsi"/>
          <w:sz w:val="24"/>
          <w:szCs w:val="24"/>
        </w:rPr>
        <w:t xml:space="preserve"> et al observed that monoclonal immunoglobulin deposition including – heavy and light chain deposition diseases, type 1 </w:t>
      </w:r>
      <w:proofErr w:type="spellStart"/>
      <w:r w:rsidRPr="00D908C6">
        <w:rPr>
          <w:rFonts w:cstheme="minorHAnsi"/>
          <w:sz w:val="24"/>
          <w:szCs w:val="24"/>
        </w:rPr>
        <w:t>cryoglobulinemic</w:t>
      </w:r>
      <w:proofErr w:type="spellEnd"/>
      <w:r w:rsidRPr="00D908C6">
        <w:rPr>
          <w:rFonts w:cstheme="minorHAnsi"/>
          <w:sz w:val="24"/>
          <w:szCs w:val="24"/>
        </w:rPr>
        <w:t xml:space="preserve"> glomerulonephritis, </w:t>
      </w:r>
      <w:proofErr w:type="spellStart"/>
      <w:r w:rsidRPr="00D908C6">
        <w:rPr>
          <w:rFonts w:cstheme="minorHAnsi"/>
          <w:sz w:val="24"/>
          <w:szCs w:val="24"/>
        </w:rPr>
        <w:t>immunotactoid</w:t>
      </w:r>
      <w:proofErr w:type="spellEnd"/>
      <w:r w:rsidRPr="00D908C6">
        <w:rPr>
          <w:rFonts w:cstheme="minorHAnsi"/>
          <w:sz w:val="24"/>
          <w:szCs w:val="24"/>
        </w:rPr>
        <w:t xml:space="preserve"> glomerulonephritis, and light and heavy chain amyloidosis constituted the underlying pathology in their series. </w:t>
      </w:r>
      <w:r w:rsidR="003E3A47">
        <w:rPr>
          <w:rFonts w:cstheme="minorHAnsi"/>
          <w:sz w:val="24"/>
          <w:szCs w:val="24"/>
          <w:vertAlign w:val="superscript"/>
        </w:rPr>
        <w:t>34</w:t>
      </w:r>
      <w:r w:rsidRPr="00D908C6">
        <w:rPr>
          <w:rFonts w:cstheme="minorHAnsi"/>
          <w:sz w:val="24"/>
          <w:szCs w:val="24"/>
        </w:rPr>
        <w:t xml:space="preserve"> On LM review, </w:t>
      </w:r>
      <w:proofErr w:type="spellStart"/>
      <w:r w:rsidRPr="00D908C6">
        <w:rPr>
          <w:rFonts w:cstheme="minorHAnsi"/>
          <w:sz w:val="24"/>
          <w:szCs w:val="24"/>
        </w:rPr>
        <w:t>Samih</w:t>
      </w:r>
      <w:proofErr w:type="spellEnd"/>
      <w:r w:rsidRPr="00D908C6">
        <w:rPr>
          <w:rFonts w:cstheme="minorHAnsi"/>
          <w:sz w:val="24"/>
          <w:szCs w:val="24"/>
        </w:rPr>
        <w:t xml:space="preserve"> et al noted that 56.8% of the proliferative glomerulonephritis displayed MPGN features consisting of double-contoured glomerular capil</w:t>
      </w:r>
      <w:r w:rsidR="004A04E5">
        <w:rPr>
          <w:rFonts w:cstheme="minorHAnsi"/>
          <w:sz w:val="24"/>
          <w:szCs w:val="24"/>
        </w:rPr>
        <w:t xml:space="preserve">lary walls and </w:t>
      </w:r>
      <w:proofErr w:type="spellStart"/>
      <w:r w:rsidR="004A04E5">
        <w:rPr>
          <w:rFonts w:cstheme="minorHAnsi"/>
          <w:sz w:val="24"/>
          <w:szCs w:val="24"/>
        </w:rPr>
        <w:t>hypercellularity</w:t>
      </w:r>
      <w:proofErr w:type="spellEnd"/>
      <w:r w:rsidR="004A04E5">
        <w:rPr>
          <w:rFonts w:cstheme="minorHAnsi"/>
          <w:sz w:val="24"/>
          <w:szCs w:val="24"/>
        </w:rPr>
        <w:t>, which is similar to the</w:t>
      </w:r>
      <w:r w:rsidRPr="00D908C6">
        <w:rPr>
          <w:rFonts w:cstheme="minorHAnsi"/>
          <w:sz w:val="24"/>
          <w:szCs w:val="24"/>
        </w:rPr>
        <w:t xml:space="preserve"> LM finding</w:t>
      </w:r>
      <w:r w:rsidR="004A04E5">
        <w:rPr>
          <w:rFonts w:cstheme="minorHAnsi"/>
          <w:sz w:val="24"/>
          <w:szCs w:val="24"/>
        </w:rPr>
        <w:t>s of proliferative glomerulonephritis</w:t>
      </w:r>
      <w:r w:rsidR="009261F0">
        <w:rPr>
          <w:rFonts w:cstheme="minorHAnsi"/>
          <w:sz w:val="24"/>
          <w:szCs w:val="24"/>
        </w:rPr>
        <w:t xml:space="preserve"> in our study</w:t>
      </w:r>
      <w:r w:rsidRPr="00D908C6">
        <w:rPr>
          <w:rFonts w:cstheme="minorHAnsi"/>
          <w:sz w:val="24"/>
          <w:szCs w:val="24"/>
        </w:rPr>
        <w:t xml:space="preserve">. Although their patients were adults, it is arguable that these </w:t>
      </w:r>
      <w:proofErr w:type="spellStart"/>
      <w:r w:rsidRPr="00D908C6">
        <w:rPr>
          <w:rFonts w:cstheme="minorHAnsi"/>
          <w:sz w:val="24"/>
          <w:szCs w:val="24"/>
        </w:rPr>
        <w:t>dysproteinemia</w:t>
      </w:r>
      <w:proofErr w:type="spellEnd"/>
      <w:r w:rsidRPr="00D908C6">
        <w:rPr>
          <w:rFonts w:cstheme="minorHAnsi"/>
          <w:sz w:val="24"/>
          <w:szCs w:val="24"/>
        </w:rPr>
        <w:t xml:space="preserve"> based pathologies could also occur among children. Unfortunately, owing to limitation in diagnostic infrastructure, we are unable to rule out those</w:t>
      </w:r>
      <w:r w:rsidR="009261F0">
        <w:rPr>
          <w:rFonts w:cstheme="minorHAnsi"/>
          <w:sz w:val="24"/>
          <w:szCs w:val="24"/>
        </w:rPr>
        <w:t xml:space="preserve"> disease entities in our environment.</w:t>
      </w:r>
      <w:r w:rsidRPr="00D908C6">
        <w:rPr>
          <w:rFonts w:cstheme="minorHAnsi"/>
          <w:sz w:val="24"/>
          <w:szCs w:val="24"/>
        </w:rPr>
        <w:t xml:space="preserve"> Proliferative glomerulonephritis is a </w:t>
      </w:r>
      <w:proofErr w:type="spellStart"/>
      <w:r w:rsidRPr="00D908C6">
        <w:rPr>
          <w:rFonts w:cstheme="minorHAnsi"/>
          <w:sz w:val="24"/>
          <w:szCs w:val="24"/>
        </w:rPr>
        <w:t>sequele</w:t>
      </w:r>
      <w:proofErr w:type="spellEnd"/>
      <w:r w:rsidRPr="00D908C6">
        <w:rPr>
          <w:rFonts w:cstheme="minorHAnsi"/>
          <w:sz w:val="24"/>
          <w:szCs w:val="24"/>
        </w:rPr>
        <w:t xml:space="preserve"> of direct and indirect infectious processes involving the kidney like post-infectious glomerulonephr</w:t>
      </w:r>
      <w:r w:rsidR="009261F0">
        <w:rPr>
          <w:rFonts w:cstheme="minorHAnsi"/>
          <w:sz w:val="24"/>
          <w:szCs w:val="24"/>
        </w:rPr>
        <w:t>itis, especially in our environment</w:t>
      </w:r>
      <w:r w:rsidRPr="00D908C6">
        <w:rPr>
          <w:rFonts w:cstheme="minorHAnsi"/>
          <w:sz w:val="24"/>
          <w:szCs w:val="24"/>
        </w:rPr>
        <w:t xml:space="preserve"> where as a result of </w:t>
      </w:r>
      <w:r w:rsidR="009261F0">
        <w:rPr>
          <w:rFonts w:cstheme="minorHAnsi"/>
          <w:sz w:val="24"/>
          <w:szCs w:val="24"/>
        </w:rPr>
        <w:t xml:space="preserve">the </w:t>
      </w:r>
      <w:r w:rsidRPr="00D908C6">
        <w:rPr>
          <w:rFonts w:cstheme="minorHAnsi"/>
          <w:sz w:val="24"/>
          <w:szCs w:val="24"/>
        </w:rPr>
        <w:t>generally poor environmental conditions</w:t>
      </w:r>
      <w:r w:rsidR="009261F0">
        <w:rPr>
          <w:rFonts w:cstheme="minorHAnsi"/>
          <w:sz w:val="24"/>
          <w:szCs w:val="24"/>
        </w:rPr>
        <w:t xml:space="preserve"> and the pervading poverty,</w:t>
      </w:r>
      <w:r w:rsidRPr="00D908C6">
        <w:rPr>
          <w:rFonts w:cstheme="minorHAnsi"/>
          <w:sz w:val="24"/>
          <w:szCs w:val="24"/>
        </w:rPr>
        <w:t xml:space="preserve"> children are </w:t>
      </w:r>
      <w:r w:rsidR="009261F0">
        <w:rPr>
          <w:rFonts w:cstheme="minorHAnsi"/>
          <w:sz w:val="24"/>
          <w:szCs w:val="24"/>
        </w:rPr>
        <w:t xml:space="preserve">frequently </w:t>
      </w:r>
      <w:r w:rsidRPr="00D908C6">
        <w:rPr>
          <w:rFonts w:cstheme="minorHAnsi"/>
          <w:sz w:val="24"/>
          <w:szCs w:val="24"/>
        </w:rPr>
        <w:t xml:space="preserve">exposed to infectious conditions. </w:t>
      </w:r>
      <w:r w:rsidRPr="00D908C6">
        <w:rPr>
          <w:rFonts w:cstheme="minorHAnsi"/>
          <w:sz w:val="24"/>
          <w:szCs w:val="24"/>
          <w:vertAlign w:val="superscript"/>
        </w:rPr>
        <w:t>3</w:t>
      </w:r>
      <w:r w:rsidR="003E3A47">
        <w:rPr>
          <w:rFonts w:cstheme="minorHAnsi"/>
          <w:sz w:val="24"/>
          <w:szCs w:val="24"/>
          <w:vertAlign w:val="superscript"/>
        </w:rPr>
        <w:t>5</w:t>
      </w:r>
      <w:proofErr w:type="gramStart"/>
      <w:r w:rsidR="003E3A47">
        <w:rPr>
          <w:rFonts w:cstheme="minorHAnsi"/>
          <w:sz w:val="24"/>
          <w:szCs w:val="24"/>
          <w:vertAlign w:val="superscript"/>
        </w:rPr>
        <w:t>,36</w:t>
      </w:r>
      <w:proofErr w:type="gramEnd"/>
      <w:r w:rsidRPr="00D908C6">
        <w:rPr>
          <w:rFonts w:cstheme="minorHAnsi"/>
          <w:sz w:val="24"/>
          <w:szCs w:val="24"/>
        </w:rPr>
        <w:t xml:space="preserve"> Thus the finding of more non-proliferative lesions in this study tells of the significance of non-proliferative lesions including FSGS, MCD and CG in the pathogenesis of kidney diseases in</w:t>
      </w:r>
      <w:r w:rsidR="009261F0">
        <w:rPr>
          <w:rFonts w:cstheme="minorHAnsi"/>
          <w:sz w:val="24"/>
          <w:szCs w:val="24"/>
        </w:rPr>
        <w:t xml:space="preserve"> our environment at this time</w:t>
      </w:r>
      <w:r w:rsidRPr="00D908C6">
        <w:rPr>
          <w:rFonts w:cstheme="minorHAnsi"/>
          <w:sz w:val="24"/>
          <w:szCs w:val="24"/>
        </w:rPr>
        <w:t xml:space="preserve">. </w:t>
      </w:r>
    </w:p>
    <w:p w:rsidR="009B5550" w:rsidRDefault="009261F0" w:rsidP="00756524">
      <w:pPr>
        <w:spacing w:line="240" w:lineRule="auto"/>
        <w:jc w:val="both"/>
        <w:rPr>
          <w:rFonts w:cstheme="minorHAnsi"/>
          <w:sz w:val="24"/>
          <w:szCs w:val="24"/>
        </w:rPr>
      </w:pPr>
      <w:r>
        <w:rPr>
          <w:rFonts w:cstheme="minorHAnsi"/>
          <w:sz w:val="24"/>
          <w:szCs w:val="24"/>
        </w:rPr>
        <w:t>However, t</w:t>
      </w:r>
      <w:r w:rsidR="00E85834" w:rsidRPr="00D908C6">
        <w:rPr>
          <w:rFonts w:cstheme="minorHAnsi"/>
          <w:sz w:val="24"/>
          <w:szCs w:val="24"/>
        </w:rPr>
        <w:t>his is at variance with report of a study in Saudi</w:t>
      </w:r>
      <w:r w:rsidR="009B5550">
        <w:rPr>
          <w:rFonts w:cstheme="minorHAnsi"/>
          <w:sz w:val="24"/>
          <w:szCs w:val="24"/>
        </w:rPr>
        <w:t xml:space="preserve"> Arabia</w:t>
      </w:r>
      <w:r w:rsidR="00E85834" w:rsidRPr="00D908C6">
        <w:rPr>
          <w:rFonts w:cstheme="minorHAnsi"/>
          <w:sz w:val="24"/>
          <w:szCs w:val="24"/>
        </w:rPr>
        <w:t xml:space="preserve">. </w:t>
      </w:r>
      <w:r w:rsidR="00E85834" w:rsidRPr="00D908C6">
        <w:rPr>
          <w:rFonts w:cstheme="minorHAnsi"/>
          <w:sz w:val="24"/>
          <w:szCs w:val="24"/>
          <w:vertAlign w:val="superscript"/>
        </w:rPr>
        <w:t>3</w:t>
      </w:r>
      <w:r w:rsidR="003E3A47">
        <w:rPr>
          <w:rFonts w:cstheme="minorHAnsi"/>
          <w:sz w:val="24"/>
          <w:szCs w:val="24"/>
          <w:vertAlign w:val="superscript"/>
        </w:rPr>
        <w:t>6</w:t>
      </w:r>
      <w:r w:rsidR="00E85834" w:rsidRPr="00D908C6">
        <w:rPr>
          <w:rFonts w:cstheme="minorHAnsi"/>
          <w:sz w:val="24"/>
          <w:szCs w:val="24"/>
        </w:rPr>
        <w:t xml:space="preserve"> Specifically, FSGS and MCD constituted the highest diagnostic lesions – constituting 36.4% each. While the high incidence of FSGS is consistent with previous reports from our centre and other centres in Nigeria, </w:t>
      </w:r>
      <w:r w:rsidR="003E3A47">
        <w:rPr>
          <w:rFonts w:cstheme="minorHAnsi"/>
          <w:sz w:val="24"/>
          <w:szCs w:val="24"/>
          <w:vertAlign w:val="superscript"/>
        </w:rPr>
        <w:t>13,14</w:t>
      </w:r>
      <w:r w:rsidR="00E85834" w:rsidRPr="00D908C6">
        <w:rPr>
          <w:rFonts w:cstheme="minorHAnsi"/>
          <w:sz w:val="24"/>
          <w:szCs w:val="24"/>
          <w:vertAlign w:val="superscript"/>
        </w:rPr>
        <w:t>,1</w:t>
      </w:r>
      <w:r w:rsidR="003E3A47">
        <w:rPr>
          <w:rFonts w:cstheme="minorHAnsi"/>
          <w:sz w:val="24"/>
          <w:szCs w:val="24"/>
          <w:vertAlign w:val="superscript"/>
        </w:rPr>
        <w:t>7</w:t>
      </w:r>
      <w:r w:rsidR="00E85834" w:rsidRPr="00D908C6">
        <w:rPr>
          <w:rFonts w:cstheme="minorHAnsi"/>
          <w:sz w:val="24"/>
          <w:szCs w:val="24"/>
        </w:rPr>
        <w:t xml:space="preserve">  the associated high incidence of MCD is inconsistent with most previous works in Nigeria which reported low incidence of MCD </w:t>
      </w:r>
      <w:r w:rsidR="003E3A47">
        <w:rPr>
          <w:rFonts w:cstheme="minorHAnsi"/>
          <w:sz w:val="24"/>
          <w:szCs w:val="24"/>
          <w:vertAlign w:val="superscript"/>
        </w:rPr>
        <w:t>28,37</w:t>
      </w:r>
      <w:r w:rsidR="00E85834" w:rsidRPr="00D908C6">
        <w:rPr>
          <w:rFonts w:cstheme="minorHAnsi"/>
          <w:sz w:val="24"/>
          <w:szCs w:val="24"/>
          <w:vertAlign w:val="superscript"/>
        </w:rPr>
        <w:t>,</w:t>
      </w:r>
      <w:r w:rsidR="003E3A47">
        <w:rPr>
          <w:rFonts w:cstheme="minorHAnsi"/>
          <w:sz w:val="24"/>
          <w:szCs w:val="24"/>
          <w:vertAlign w:val="superscript"/>
        </w:rPr>
        <w:t>38</w:t>
      </w:r>
      <w:r w:rsidR="00E85834" w:rsidRPr="00D908C6">
        <w:rPr>
          <w:rFonts w:cstheme="minorHAnsi"/>
          <w:sz w:val="24"/>
          <w:szCs w:val="24"/>
        </w:rPr>
        <w:t xml:space="preserve"> This change in trend is comparable to the observation in Ibadan by </w:t>
      </w:r>
      <w:proofErr w:type="spellStart"/>
      <w:r w:rsidR="00E85834" w:rsidRPr="00D908C6">
        <w:rPr>
          <w:rFonts w:cstheme="minorHAnsi"/>
          <w:sz w:val="24"/>
          <w:szCs w:val="24"/>
        </w:rPr>
        <w:t>Asinobi</w:t>
      </w:r>
      <w:proofErr w:type="spellEnd"/>
      <w:r w:rsidR="00E85834" w:rsidRPr="00D908C6">
        <w:rPr>
          <w:rFonts w:cstheme="minorHAnsi"/>
          <w:sz w:val="24"/>
          <w:szCs w:val="24"/>
        </w:rPr>
        <w:t xml:space="preserve"> et al who noted a progressively increasing incidence in FSGS over decades, overtaking </w:t>
      </w:r>
      <w:r w:rsidR="009B5550">
        <w:rPr>
          <w:rFonts w:cstheme="minorHAnsi"/>
          <w:sz w:val="24"/>
          <w:szCs w:val="24"/>
        </w:rPr>
        <w:t>quarter malaria nephropathy (</w:t>
      </w:r>
      <w:r w:rsidR="00E85834" w:rsidRPr="00D908C6">
        <w:rPr>
          <w:rFonts w:cstheme="minorHAnsi"/>
          <w:sz w:val="24"/>
          <w:szCs w:val="24"/>
        </w:rPr>
        <w:t>QMN</w:t>
      </w:r>
      <w:r w:rsidR="009B5550">
        <w:rPr>
          <w:rFonts w:cstheme="minorHAnsi"/>
          <w:sz w:val="24"/>
          <w:szCs w:val="24"/>
        </w:rPr>
        <w:t>)</w:t>
      </w:r>
      <w:r w:rsidR="00E85834" w:rsidRPr="00D908C6">
        <w:rPr>
          <w:rFonts w:cstheme="minorHAnsi"/>
          <w:sz w:val="24"/>
          <w:szCs w:val="24"/>
        </w:rPr>
        <w:t xml:space="preserve"> and MPGN to become the most prevalent pathological lesion responsible for childhood NS in Ibadan as at the time </w:t>
      </w:r>
      <w:r w:rsidR="003E3A47">
        <w:rPr>
          <w:rFonts w:cstheme="minorHAnsi"/>
          <w:sz w:val="24"/>
          <w:szCs w:val="24"/>
        </w:rPr>
        <w:t xml:space="preserve">of their study </w:t>
      </w:r>
      <w:r w:rsidR="003E3A47" w:rsidRPr="003E3A47">
        <w:rPr>
          <w:rFonts w:cstheme="minorHAnsi"/>
          <w:color w:val="FF0000"/>
          <w:sz w:val="24"/>
          <w:szCs w:val="24"/>
        </w:rPr>
        <w:t>14</w:t>
      </w:r>
      <w:r w:rsidR="00E85834" w:rsidRPr="00D908C6">
        <w:rPr>
          <w:rFonts w:cstheme="minorHAnsi"/>
          <w:sz w:val="24"/>
          <w:szCs w:val="24"/>
        </w:rPr>
        <w:t>. They attributed this to a possible change in the aetiological factor of NS. Similarly, we have observed an increase in incidence of MCD from the previous report from our centre that recorded low incidence of MCD.</w:t>
      </w:r>
      <w:r w:rsidR="009B5550">
        <w:rPr>
          <w:rFonts w:cstheme="minorHAnsi"/>
          <w:sz w:val="24"/>
          <w:szCs w:val="24"/>
        </w:rPr>
        <w:t xml:space="preserve"> </w:t>
      </w:r>
      <w:r w:rsidR="009B5550" w:rsidRPr="009B5550">
        <w:rPr>
          <w:rFonts w:cstheme="minorHAnsi"/>
          <w:color w:val="FF0000"/>
          <w:sz w:val="24"/>
          <w:szCs w:val="24"/>
        </w:rPr>
        <w:t>13</w:t>
      </w:r>
      <w:r w:rsidR="00E85834" w:rsidRPr="00D908C6">
        <w:rPr>
          <w:rFonts w:cstheme="minorHAnsi"/>
          <w:sz w:val="24"/>
          <w:szCs w:val="24"/>
        </w:rPr>
        <w:t xml:space="preserve"> </w:t>
      </w:r>
      <w:bookmarkStart w:id="0" w:name="_GoBack"/>
      <w:bookmarkEnd w:id="0"/>
      <w:r w:rsidR="00E85834" w:rsidRPr="00D908C6">
        <w:rPr>
          <w:rFonts w:cstheme="minorHAnsi"/>
          <w:sz w:val="24"/>
          <w:szCs w:val="24"/>
        </w:rPr>
        <w:t xml:space="preserve">Like averred by </w:t>
      </w:r>
      <w:proofErr w:type="spellStart"/>
      <w:r w:rsidR="00E85834" w:rsidRPr="00D908C6">
        <w:rPr>
          <w:rFonts w:cstheme="minorHAnsi"/>
          <w:sz w:val="24"/>
          <w:szCs w:val="24"/>
        </w:rPr>
        <w:t>Asinobi</w:t>
      </w:r>
      <w:proofErr w:type="spellEnd"/>
      <w:r w:rsidR="00E85834" w:rsidRPr="00D908C6">
        <w:rPr>
          <w:rFonts w:cstheme="minorHAnsi"/>
          <w:sz w:val="24"/>
          <w:szCs w:val="24"/>
        </w:rPr>
        <w:t xml:space="preserve"> et al, this is likely an indication of a change in the </w:t>
      </w:r>
      <w:proofErr w:type="spellStart"/>
      <w:r w:rsidR="00E85834" w:rsidRPr="00D908C6">
        <w:rPr>
          <w:rFonts w:cstheme="minorHAnsi"/>
          <w:sz w:val="24"/>
          <w:szCs w:val="24"/>
        </w:rPr>
        <w:t>aetiopathogenesis</w:t>
      </w:r>
      <w:proofErr w:type="spellEnd"/>
      <w:r w:rsidR="00E85834" w:rsidRPr="00D908C6">
        <w:rPr>
          <w:rFonts w:cstheme="minorHAnsi"/>
          <w:sz w:val="24"/>
          <w:szCs w:val="24"/>
        </w:rPr>
        <w:t xml:space="preserve"> of NS in our environment. However, further studies are needed to validate this finding and probe into the </w:t>
      </w:r>
      <w:proofErr w:type="spellStart"/>
      <w:r w:rsidR="00E85834" w:rsidRPr="00D908C6">
        <w:rPr>
          <w:rFonts w:cstheme="minorHAnsi"/>
          <w:sz w:val="24"/>
          <w:szCs w:val="24"/>
        </w:rPr>
        <w:t>aetiopathogenesis</w:t>
      </w:r>
      <w:proofErr w:type="spellEnd"/>
      <w:r w:rsidR="00E85834" w:rsidRPr="00D908C6">
        <w:rPr>
          <w:rFonts w:cstheme="minorHAnsi"/>
          <w:sz w:val="24"/>
          <w:szCs w:val="24"/>
        </w:rPr>
        <w:t xml:space="preserve"> considering also, t</w:t>
      </w:r>
      <w:r w:rsidR="009B5550">
        <w:rPr>
          <w:rFonts w:cstheme="minorHAnsi"/>
          <w:sz w:val="24"/>
          <w:szCs w:val="24"/>
        </w:rPr>
        <w:t>he relatively low number of review</w:t>
      </w:r>
      <w:r w:rsidR="00E85834" w:rsidRPr="00D908C6">
        <w:rPr>
          <w:rFonts w:cstheme="minorHAnsi"/>
          <w:sz w:val="24"/>
          <w:szCs w:val="24"/>
        </w:rPr>
        <w:t>ed biopsies</w:t>
      </w:r>
      <w:r w:rsidR="009B5550">
        <w:rPr>
          <w:rFonts w:cstheme="minorHAnsi"/>
          <w:sz w:val="24"/>
          <w:szCs w:val="24"/>
        </w:rPr>
        <w:t xml:space="preserve"> in this study</w:t>
      </w:r>
      <w:r w:rsidR="00E85834" w:rsidRPr="00D908C6">
        <w:rPr>
          <w:rFonts w:cstheme="minorHAnsi"/>
          <w:sz w:val="24"/>
          <w:szCs w:val="24"/>
        </w:rPr>
        <w:t xml:space="preserve">.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That CG constituted 27.2% of the diagnoses is significant in view of the perceived association of CG with HIVAN. Unfortunately, none of the patients were HIV positive. Although </w:t>
      </w:r>
      <w:proofErr w:type="spellStart"/>
      <w:r w:rsidRPr="00D908C6">
        <w:rPr>
          <w:rFonts w:cstheme="minorHAnsi"/>
          <w:sz w:val="24"/>
          <w:szCs w:val="24"/>
        </w:rPr>
        <w:t>Albaqumi</w:t>
      </w:r>
      <w:proofErr w:type="spellEnd"/>
      <w:r w:rsidRPr="00D908C6">
        <w:rPr>
          <w:rFonts w:cstheme="minorHAnsi"/>
          <w:sz w:val="24"/>
          <w:szCs w:val="24"/>
        </w:rPr>
        <w:t xml:space="preserve"> et al and </w:t>
      </w:r>
      <w:proofErr w:type="spellStart"/>
      <w:r w:rsidRPr="00D908C6">
        <w:rPr>
          <w:rFonts w:cstheme="minorHAnsi"/>
          <w:sz w:val="24"/>
          <w:szCs w:val="24"/>
        </w:rPr>
        <w:t>Amaura</w:t>
      </w:r>
      <w:proofErr w:type="spellEnd"/>
      <w:r w:rsidRPr="00D908C6">
        <w:rPr>
          <w:rFonts w:cstheme="minorHAnsi"/>
          <w:sz w:val="24"/>
          <w:szCs w:val="24"/>
        </w:rPr>
        <w:t xml:space="preserve"> et al noted in their separate studies that CG is not a single disease but a unique pattern of renal parenchymal injury which may result from multitude of causes. </w:t>
      </w:r>
      <w:r w:rsidR="00575D84">
        <w:rPr>
          <w:rFonts w:cstheme="minorHAnsi"/>
          <w:sz w:val="24"/>
          <w:szCs w:val="24"/>
          <w:vertAlign w:val="superscript"/>
        </w:rPr>
        <w:t>39</w:t>
      </w:r>
      <w:proofErr w:type="gramStart"/>
      <w:r w:rsidRPr="00D908C6">
        <w:rPr>
          <w:rFonts w:cstheme="minorHAnsi"/>
          <w:sz w:val="24"/>
          <w:szCs w:val="24"/>
          <w:vertAlign w:val="superscript"/>
        </w:rPr>
        <w:t>,4</w:t>
      </w:r>
      <w:r w:rsidR="00575D84">
        <w:rPr>
          <w:rFonts w:cstheme="minorHAnsi"/>
          <w:sz w:val="24"/>
          <w:szCs w:val="24"/>
          <w:vertAlign w:val="superscript"/>
        </w:rPr>
        <w:t>0</w:t>
      </w:r>
      <w:proofErr w:type="gramEnd"/>
      <w:r w:rsidRPr="00D908C6">
        <w:rPr>
          <w:rFonts w:cstheme="minorHAnsi"/>
          <w:sz w:val="24"/>
          <w:szCs w:val="24"/>
        </w:rPr>
        <w:t xml:space="preserve">. Accordingly, Mubarak and </w:t>
      </w:r>
      <w:proofErr w:type="spellStart"/>
      <w:r w:rsidRPr="00D908C6">
        <w:rPr>
          <w:rFonts w:cstheme="minorHAnsi"/>
          <w:sz w:val="24"/>
          <w:szCs w:val="24"/>
        </w:rPr>
        <w:t>Kazi</w:t>
      </w:r>
      <w:proofErr w:type="spellEnd"/>
      <w:r w:rsidRPr="00D908C6">
        <w:rPr>
          <w:rFonts w:cstheme="minorHAnsi"/>
          <w:sz w:val="24"/>
          <w:szCs w:val="24"/>
        </w:rPr>
        <w:t xml:space="preserve"> categorised the associated disorders of CG into infections, drug toxicity, autoimmune diseases, malignant tumours, genetic diseases, and ischemic conditions. </w:t>
      </w:r>
      <w:r w:rsidRPr="00D908C6">
        <w:rPr>
          <w:rFonts w:cstheme="minorHAnsi"/>
          <w:sz w:val="24"/>
          <w:szCs w:val="24"/>
          <w:vertAlign w:val="superscript"/>
        </w:rPr>
        <w:t>30</w:t>
      </w:r>
      <w:r w:rsidRPr="00D908C6">
        <w:rPr>
          <w:rFonts w:cstheme="minorHAnsi"/>
          <w:sz w:val="24"/>
          <w:szCs w:val="24"/>
        </w:rPr>
        <w:t xml:space="preserve"> Therefore it is not unusual that we found CG lesions in HIV negative patients.</w:t>
      </w:r>
    </w:p>
    <w:p w:rsidR="00E85834" w:rsidRPr="00D908C6" w:rsidRDefault="00E85834" w:rsidP="00756524">
      <w:pPr>
        <w:spacing w:line="240" w:lineRule="auto"/>
        <w:jc w:val="both"/>
        <w:rPr>
          <w:rFonts w:cstheme="minorHAnsi"/>
          <w:sz w:val="24"/>
          <w:szCs w:val="24"/>
        </w:rPr>
      </w:pPr>
      <w:proofErr w:type="spellStart"/>
      <w:r w:rsidRPr="00D908C6">
        <w:rPr>
          <w:rFonts w:cstheme="minorHAnsi"/>
          <w:sz w:val="24"/>
          <w:szCs w:val="24"/>
        </w:rPr>
        <w:t>Tubulointerstitial</w:t>
      </w:r>
      <w:proofErr w:type="spellEnd"/>
      <w:r w:rsidRPr="00D908C6">
        <w:rPr>
          <w:rFonts w:cstheme="minorHAnsi"/>
          <w:sz w:val="24"/>
          <w:szCs w:val="24"/>
        </w:rPr>
        <w:t xml:space="preserve"> lesions were not prominent in this study with the mean tubular atrophy being 11.1%. Most of the tubular lesions observed were associated with CG and included prominent protein </w:t>
      </w:r>
      <w:proofErr w:type="spellStart"/>
      <w:r w:rsidRPr="00D908C6">
        <w:rPr>
          <w:rFonts w:cstheme="minorHAnsi"/>
          <w:sz w:val="24"/>
          <w:szCs w:val="24"/>
        </w:rPr>
        <w:t>reabsorbtion</w:t>
      </w:r>
      <w:proofErr w:type="spellEnd"/>
      <w:r w:rsidRPr="00D908C6">
        <w:rPr>
          <w:rFonts w:cstheme="minorHAnsi"/>
          <w:sz w:val="24"/>
          <w:szCs w:val="24"/>
        </w:rPr>
        <w:t xml:space="preserve"> granules within the cytoplasm of the tubular epithelium </w:t>
      </w:r>
      <w:r w:rsidRPr="00D908C6">
        <w:rPr>
          <w:rFonts w:cstheme="minorHAnsi"/>
          <w:sz w:val="24"/>
          <w:szCs w:val="24"/>
        </w:rPr>
        <w:lastRenderedPageBreak/>
        <w:t xml:space="preserve">and variable dilatation of the tubules with pale staining luminal precipitates. These findings are consistent reports of the morphologic changes of CG.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While 62.5% of patients with proliferative lesions presented with hypertension, only 36.4% of patients with non-proliferative lesions presented with hypertension. This is similar to the report from Kano which recorded prevalence of hypertension as 66.7% among MPGN patients as against the 37.5% in FSGS. </w:t>
      </w:r>
      <w:r w:rsidRPr="00D908C6">
        <w:rPr>
          <w:rFonts w:cstheme="minorHAnsi"/>
          <w:sz w:val="24"/>
          <w:szCs w:val="24"/>
          <w:vertAlign w:val="superscript"/>
        </w:rPr>
        <w:t>18</w:t>
      </w:r>
      <w:r w:rsidRPr="00D908C6">
        <w:rPr>
          <w:rFonts w:cstheme="minorHAnsi"/>
          <w:sz w:val="24"/>
          <w:szCs w:val="24"/>
        </w:rPr>
        <w:t xml:space="preserve"> This may suggest that hypertension at presentation of renal disorder may point to an underlying proliferative glomerular lesion.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The mean duration of sickness prior to presentation to the clinic was 22.2 months. This is in keeping with the known trend of late presentation of patients in our environment, which often have dire consequences. Creating more awareness on recognising kidney symptoms early and presenting early will be helpful as much as providing health insurance that is generally accessible to members of the public. The latter will bring more people to the hospital as they will not pay out of their pockets.</w:t>
      </w:r>
    </w:p>
    <w:p w:rsidR="00E85834" w:rsidRPr="00D908C6" w:rsidRDefault="00E85834" w:rsidP="00756524">
      <w:pPr>
        <w:spacing w:line="240" w:lineRule="auto"/>
        <w:jc w:val="both"/>
        <w:rPr>
          <w:rFonts w:cstheme="minorHAnsi"/>
          <w:sz w:val="24"/>
          <w:szCs w:val="24"/>
        </w:rPr>
      </w:pPr>
    </w:p>
    <w:p w:rsidR="00117D2B" w:rsidRPr="00D908C6" w:rsidRDefault="00117D2B">
      <w:pPr>
        <w:spacing w:after="0" w:line="240" w:lineRule="auto"/>
        <w:rPr>
          <w:rFonts w:cstheme="minorHAnsi"/>
          <w:b/>
          <w:sz w:val="24"/>
          <w:szCs w:val="24"/>
        </w:rPr>
      </w:pPr>
      <w:r w:rsidRPr="00D908C6">
        <w:rPr>
          <w:rFonts w:cstheme="minorHAnsi"/>
          <w:b/>
          <w:sz w:val="24"/>
          <w:szCs w:val="24"/>
        </w:rPr>
        <w:br w:type="page"/>
      </w:r>
    </w:p>
    <w:p w:rsidR="00E85834" w:rsidRPr="00D908C6" w:rsidRDefault="00E85834" w:rsidP="00756524">
      <w:pPr>
        <w:spacing w:line="240" w:lineRule="auto"/>
        <w:jc w:val="both"/>
        <w:rPr>
          <w:rFonts w:cstheme="minorHAnsi"/>
          <w:b/>
          <w:i/>
          <w:sz w:val="24"/>
          <w:szCs w:val="24"/>
        </w:rPr>
      </w:pPr>
      <w:proofErr w:type="gramStart"/>
      <w:r w:rsidRPr="00D908C6">
        <w:rPr>
          <w:rFonts w:cstheme="minorHAnsi"/>
          <w:b/>
          <w:i/>
          <w:sz w:val="24"/>
          <w:szCs w:val="24"/>
        </w:rPr>
        <w:lastRenderedPageBreak/>
        <w:t>Conclusion.</w:t>
      </w:r>
      <w:proofErr w:type="gramEnd"/>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 Renal biopsy practice is still inadequate in Port Harcourt. Although MPGN is the most common cause of NS in Port Harcourt children, collapsing </w:t>
      </w:r>
      <w:proofErr w:type="spellStart"/>
      <w:r w:rsidRPr="00D908C6">
        <w:rPr>
          <w:rFonts w:cstheme="minorHAnsi"/>
          <w:sz w:val="24"/>
          <w:szCs w:val="24"/>
        </w:rPr>
        <w:t>glomerulopathy</w:t>
      </w:r>
      <w:proofErr w:type="spellEnd"/>
      <w:r w:rsidRPr="00D908C6">
        <w:rPr>
          <w:rFonts w:cstheme="minorHAnsi"/>
          <w:sz w:val="24"/>
          <w:szCs w:val="24"/>
        </w:rPr>
        <w:t xml:space="preserve"> in HIV negative children also contributes significantly. There is need for increased utility of PRB in nephrology practice in order to optimize patient management in Port Harcourt.   </w:t>
      </w:r>
    </w:p>
    <w:p w:rsidR="00D07D8F" w:rsidRPr="00D908C6" w:rsidRDefault="00D07D8F" w:rsidP="00756524">
      <w:pPr>
        <w:spacing w:after="0" w:line="240" w:lineRule="auto"/>
        <w:rPr>
          <w:rFonts w:cstheme="minorHAnsi"/>
          <w:sz w:val="24"/>
          <w:szCs w:val="24"/>
        </w:rPr>
      </w:pPr>
      <w:r w:rsidRPr="00D908C6">
        <w:rPr>
          <w:rFonts w:cstheme="minorHAnsi"/>
          <w:sz w:val="24"/>
          <w:szCs w:val="24"/>
        </w:rPr>
        <w:br w:type="page"/>
      </w:r>
    </w:p>
    <w:p w:rsidR="00BC0E31" w:rsidRPr="00D908C6" w:rsidRDefault="00BC0E31" w:rsidP="00756524">
      <w:pPr>
        <w:spacing w:line="240" w:lineRule="auto"/>
        <w:jc w:val="both"/>
        <w:rPr>
          <w:rFonts w:cstheme="minorHAnsi"/>
          <w:i/>
          <w:sz w:val="24"/>
          <w:szCs w:val="24"/>
        </w:rPr>
      </w:pPr>
      <w:r w:rsidRPr="00D908C6">
        <w:rPr>
          <w:rFonts w:cstheme="minorHAnsi"/>
          <w:b/>
          <w:i/>
          <w:sz w:val="24"/>
          <w:szCs w:val="24"/>
        </w:rPr>
        <w:lastRenderedPageBreak/>
        <w:t>Acknowledgment</w:t>
      </w:r>
    </w:p>
    <w:p w:rsidR="00D07D8F" w:rsidRPr="00D908C6" w:rsidRDefault="00D07D8F" w:rsidP="00756524">
      <w:pPr>
        <w:spacing w:line="240" w:lineRule="auto"/>
        <w:jc w:val="both"/>
        <w:rPr>
          <w:rFonts w:cstheme="minorHAnsi"/>
          <w:sz w:val="24"/>
          <w:szCs w:val="24"/>
        </w:rPr>
      </w:pPr>
      <w:r w:rsidRPr="00D908C6">
        <w:rPr>
          <w:rFonts w:cstheme="minorHAnsi"/>
          <w:sz w:val="24"/>
          <w:szCs w:val="24"/>
        </w:rPr>
        <w:t xml:space="preserve">We wish to </w:t>
      </w:r>
      <w:r w:rsidR="00BC0E31" w:rsidRPr="00D908C6">
        <w:rPr>
          <w:rFonts w:cstheme="minorHAnsi"/>
          <w:sz w:val="24"/>
          <w:szCs w:val="24"/>
        </w:rPr>
        <w:t>acknowledge</w:t>
      </w:r>
      <w:r w:rsidRPr="00D908C6">
        <w:rPr>
          <w:rFonts w:cstheme="minorHAnsi"/>
          <w:sz w:val="24"/>
          <w:szCs w:val="24"/>
        </w:rPr>
        <w:t xml:space="preserve"> the ISN and IPNA as well as Dr Malcolm Lewis from United </w:t>
      </w:r>
      <w:r w:rsidR="004A771A">
        <w:rPr>
          <w:rFonts w:cstheme="minorHAnsi"/>
          <w:sz w:val="24"/>
          <w:szCs w:val="24"/>
        </w:rPr>
        <w:t>Kingdom and Profs.  Felicia Eke</w:t>
      </w:r>
      <w:r w:rsidRPr="00D908C6">
        <w:rPr>
          <w:rFonts w:cstheme="minorHAnsi"/>
          <w:sz w:val="24"/>
          <w:szCs w:val="24"/>
        </w:rPr>
        <w:t xml:space="preserve"> and </w:t>
      </w:r>
      <w:proofErr w:type="spellStart"/>
      <w:r w:rsidRPr="00D908C6">
        <w:rPr>
          <w:rFonts w:cstheme="minorHAnsi"/>
          <w:sz w:val="24"/>
          <w:szCs w:val="24"/>
        </w:rPr>
        <w:t>Ifeoma</w:t>
      </w:r>
      <w:proofErr w:type="spellEnd"/>
      <w:r w:rsidRPr="00D908C6">
        <w:rPr>
          <w:rFonts w:cstheme="minorHAnsi"/>
          <w:sz w:val="24"/>
          <w:szCs w:val="24"/>
        </w:rPr>
        <w:t xml:space="preserve"> </w:t>
      </w:r>
      <w:proofErr w:type="spellStart"/>
      <w:r w:rsidRPr="00D908C6">
        <w:rPr>
          <w:rFonts w:cstheme="minorHAnsi"/>
          <w:sz w:val="24"/>
          <w:szCs w:val="24"/>
        </w:rPr>
        <w:t>Anoc</w:t>
      </w:r>
      <w:r w:rsidR="00BC0E31" w:rsidRPr="00D908C6">
        <w:rPr>
          <w:rFonts w:cstheme="minorHAnsi"/>
          <w:sz w:val="24"/>
          <w:szCs w:val="24"/>
        </w:rPr>
        <w:t>h</w:t>
      </w:r>
      <w:r w:rsidRPr="00D908C6">
        <w:rPr>
          <w:rFonts w:cstheme="minorHAnsi"/>
          <w:sz w:val="24"/>
          <w:szCs w:val="24"/>
        </w:rPr>
        <w:t>ie</w:t>
      </w:r>
      <w:proofErr w:type="spellEnd"/>
      <w:r w:rsidRPr="00D908C6">
        <w:rPr>
          <w:rFonts w:cstheme="minorHAnsi"/>
          <w:sz w:val="24"/>
          <w:szCs w:val="24"/>
        </w:rPr>
        <w:t xml:space="preserve"> for their efforts in ensuring that the workshops during which the biopsies were taken, held. </w:t>
      </w:r>
      <w:r w:rsidR="00BC0E31" w:rsidRPr="00D908C6">
        <w:rPr>
          <w:rFonts w:cstheme="minorHAnsi"/>
          <w:sz w:val="24"/>
          <w:szCs w:val="24"/>
        </w:rPr>
        <w:t>Appreciation</w:t>
      </w:r>
      <w:r w:rsidRPr="00D908C6">
        <w:rPr>
          <w:rFonts w:cstheme="minorHAnsi"/>
          <w:sz w:val="24"/>
          <w:szCs w:val="24"/>
        </w:rPr>
        <w:t xml:space="preserve"> also goes to </w:t>
      </w:r>
      <w:r w:rsidR="00BC0E31" w:rsidRPr="00D908C6">
        <w:rPr>
          <w:rFonts w:cstheme="minorHAnsi"/>
          <w:sz w:val="24"/>
          <w:szCs w:val="24"/>
        </w:rPr>
        <w:t>Mrs</w:t>
      </w:r>
      <w:r w:rsidR="004620A4" w:rsidRPr="00D908C6">
        <w:rPr>
          <w:rFonts w:cstheme="minorHAnsi"/>
          <w:sz w:val="24"/>
          <w:szCs w:val="24"/>
        </w:rPr>
        <w:t xml:space="preserve"> </w:t>
      </w:r>
      <w:proofErr w:type="gramStart"/>
      <w:r w:rsidR="004620A4" w:rsidRPr="00D908C6">
        <w:rPr>
          <w:rFonts w:cstheme="minorHAnsi"/>
          <w:sz w:val="24"/>
          <w:szCs w:val="24"/>
        </w:rPr>
        <w:t xml:space="preserve">Gift  </w:t>
      </w:r>
      <w:proofErr w:type="spellStart"/>
      <w:r w:rsidR="004620A4" w:rsidRPr="00D908C6">
        <w:rPr>
          <w:rFonts w:cstheme="minorHAnsi"/>
          <w:sz w:val="24"/>
          <w:szCs w:val="24"/>
        </w:rPr>
        <w:t>Oletu</w:t>
      </w:r>
      <w:proofErr w:type="spellEnd"/>
      <w:proofErr w:type="gramEnd"/>
      <w:r w:rsidR="004620A4" w:rsidRPr="00D908C6">
        <w:rPr>
          <w:rFonts w:cstheme="minorHAnsi"/>
          <w:sz w:val="24"/>
          <w:szCs w:val="24"/>
        </w:rPr>
        <w:t xml:space="preserve"> for her efforts</w:t>
      </w:r>
      <w:r w:rsidR="004A771A">
        <w:rPr>
          <w:rFonts w:cstheme="minorHAnsi"/>
          <w:sz w:val="24"/>
          <w:szCs w:val="24"/>
        </w:rPr>
        <w:t xml:space="preserve"> in typing the manuscript</w:t>
      </w:r>
      <w:r w:rsidR="004620A4" w:rsidRPr="00D908C6">
        <w:rPr>
          <w:rFonts w:cstheme="minorHAnsi"/>
          <w:sz w:val="24"/>
          <w:szCs w:val="24"/>
        </w:rPr>
        <w:t>.</w:t>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rPr>
          <w:rFonts w:cstheme="minorHAnsi"/>
          <w:noProof/>
          <w:sz w:val="24"/>
          <w:szCs w:val="24"/>
          <w:lang w:eastAsia="en-GB"/>
        </w:rPr>
      </w:pPr>
      <w:r w:rsidRPr="00D908C6">
        <w:rPr>
          <w:rFonts w:cstheme="minorHAnsi"/>
          <w:noProof/>
          <w:sz w:val="24"/>
          <w:szCs w:val="24"/>
          <w:lang w:eastAsia="en-GB"/>
        </w:rPr>
        <w:br w:type="page"/>
      </w:r>
    </w:p>
    <w:p w:rsidR="00E85834" w:rsidRPr="00D908C6" w:rsidRDefault="00E85834" w:rsidP="00756524">
      <w:pPr>
        <w:spacing w:line="240" w:lineRule="auto"/>
        <w:jc w:val="both"/>
        <w:rPr>
          <w:rFonts w:cstheme="minorHAnsi"/>
          <w:b/>
          <w:i/>
          <w:sz w:val="24"/>
          <w:szCs w:val="24"/>
        </w:rPr>
      </w:pPr>
      <w:r w:rsidRPr="00D908C6">
        <w:rPr>
          <w:rFonts w:cstheme="minorHAnsi"/>
          <w:b/>
          <w:i/>
          <w:sz w:val="24"/>
          <w:szCs w:val="24"/>
        </w:rPr>
        <w:lastRenderedPageBreak/>
        <w:t>Table 1: shows gender and diagnoses distribution.</w:t>
      </w:r>
    </w:p>
    <w:tbl>
      <w:tblPr>
        <w:tblStyle w:val="TableGrid"/>
        <w:tblW w:w="0" w:type="auto"/>
        <w:tblLook w:val="04A0" w:firstRow="1" w:lastRow="0" w:firstColumn="1" w:lastColumn="0" w:noHBand="0" w:noVBand="1"/>
      </w:tblPr>
      <w:tblGrid>
        <w:gridCol w:w="1420"/>
        <w:gridCol w:w="960"/>
        <w:gridCol w:w="960"/>
        <w:gridCol w:w="960"/>
        <w:gridCol w:w="1360"/>
      </w:tblGrid>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Diagnosis</w:t>
            </w:r>
          </w:p>
        </w:tc>
        <w:tc>
          <w:tcPr>
            <w:tcW w:w="96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F</w:t>
            </w:r>
          </w:p>
        </w:tc>
        <w:tc>
          <w:tcPr>
            <w:tcW w:w="96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M</w:t>
            </w:r>
          </w:p>
        </w:tc>
        <w:tc>
          <w:tcPr>
            <w:tcW w:w="96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Total</w:t>
            </w:r>
          </w:p>
        </w:tc>
        <w:tc>
          <w:tcPr>
            <w:tcW w:w="136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CG</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2</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3</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16%</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FSGS</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3</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4</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21%</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MCD</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3</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4</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21%</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MP</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4</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5</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26%</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MP+CG</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0</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5%</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MSP</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2</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11%</w:t>
            </w:r>
          </w:p>
        </w:tc>
      </w:tr>
      <w:tr w:rsidR="00E85834" w:rsidRPr="00D908C6" w:rsidTr="00105263">
        <w:trPr>
          <w:trHeight w:val="288"/>
        </w:trPr>
        <w:tc>
          <w:tcPr>
            <w:tcW w:w="142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Grand Total</w:t>
            </w:r>
          </w:p>
        </w:tc>
        <w:tc>
          <w:tcPr>
            <w:tcW w:w="96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10</w:t>
            </w:r>
          </w:p>
        </w:tc>
        <w:tc>
          <w:tcPr>
            <w:tcW w:w="960" w:type="dxa"/>
            <w:noWrap/>
            <w:hideMark/>
          </w:tcPr>
          <w:p w:rsidR="00E85834" w:rsidRPr="00D908C6" w:rsidRDefault="00E85834" w:rsidP="00756524">
            <w:pPr>
              <w:spacing w:line="240" w:lineRule="auto"/>
              <w:jc w:val="both"/>
              <w:rPr>
                <w:rFonts w:cstheme="minorHAnsi"/>
                <w:b/>
                <w:bCs/>
                <w:sz w:val="24"/>
                <w:szCs w:val="24"/>
              </w:rPr>
            </w:pPr>
            <w:r w:rsidRPr="00D908C6">
              <w:rPr>
                <w:rFonts w:cstheme="minorHAnsi"/>
                <w:b/>
                <w:bCs/>
                <w:sz w:val="24"/>
                <w:szCs w:val="24"/>
              </w:rPr>
              <w:t>9</w:t>
            </w:r>
          </w:p>
        </w:tc>
        <w:tc>
          <w:tcPr>
            <w:tcW w:w="9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19</w:t>
            </w:r>
          </w:p>
        </w:tc>
        <w:tc>
          <w:tcPr>
            <w:tcW w:w="1360" w:type="dxa"/>
            <w:noWrap/>
            <w:hideMark/>
          </w:tcPr>
          <w:p w:rsidR="00E85834" w:rsidRPr="00D908C6" w:rsidRDefault="00E85834" w:rsidP="00756524">
            <w:pPr>
              <w:spacing w:line="240" w:lineRule="auto"/>
              <w:jc w:val="both"/>
              <w:rPr>
                <w:rFonts w:cstheme="minorHAnsi"/>
                <w:sz w:val="24"/>
                <w:szCs w:val="24"/>
              </w:rPr>
            </w:pPr>
            <w:r w:rsidRPr="00D908C6">
              <w:rPr>
                <w:rFonts w:cstheme="minorHAnsi"/>
                <w:sz w:val="24"/>
                <w:szCs w:val="24"/>
              </w:rPr>
              <w:t>100%</w:t>
            </w:r>
          </w:p>
        </w:tc>
      </w:tr>
    </w:tbl>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rPr>
          <w:rFonts w:cstheme="minorHAnsi"/>
          <w:b/>
          <w:i/>
          <w:sz w:val="24"/>
          <w:szCs w:val="24"/>
        </w:rPr>
      </w:pPr>
      <w:r w:rsidRPr="00D908C6">
        <w:rPr>
          <w:rFonts w:cstheme="minorHAnsi"/>
          <w:b/>
          <w:i/>
          <w:sz w:val="24"/>
          <w:szCs w:val="24"/>
        </w:rPr>
        <w:t>Table 2: Shows gender distribution of SDNS and SRNS</w:t>
      </w:r>
    </w:p>
    <w:tbl>
      <w:tblPr>
        <w:tblStyle w:val="TableGrid"/>
        <w:tblW w:w="0" w:type="auto"/>
        <w:tblLook w:val="01E0" w:firstRow="1" w:lastRow="1" w:firstColumn="1" w:lastColumn="1" w:noHBand="0" w:noVBand="0"/>
      </w:tblPr>
      <w:tblGrid>
        <w:gridCol w:w="943"/>
        <w:gridCol w:w="3600"/>
        <w:gridCol w:w="2214"/>
        <w:gridCol w:w="2214"/>
      </w:tblGrid>
      <w:tr w:rsidR="00E85834" w:rsidRPr="00D908C6" w:rsidTr="00105263">
        <w:tc>
          <w:tcPr>
            <w:tcW w:w="882"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Gender</w:t>
            </w:r>
          </w:p>
        </w:tc>
        <w:tc>
          <w:tcPr>
            <w:tcW w:w="3600"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SDNS</w:t>
            </w:r>
          </w:p>
          <w:p w:rsidR="00E85834" w:rsidRPr="00D908C6" w:rsidRDefault="00E85834" w:rsidP="00756524">
            <w:pPr>
              <w:spacing w:line="240" w:lineRule="auto"/>
              <w:jc w:val="center"/>
              <w:rPr>
                <w:rFonts w:cstheme="minorHAnsi"/>
                <w:sz w:val="24"/>
                <w:szCs w:val="24"/>
              </w:rPr>
            </w:pPr>
            <w:r w:rsidRPr="00D908C6">
              <w:rPr>
                <w:rFonts w:cstheme="minorHAnsi"/>
                <w:sz w:val="24"/>
                <w:szCs w:val="24"/>
              </w:rPr>
              <w:t>NO. (%)</w:t>
            </w:r>
          </w:p>
        </w:tc>
        <w:tc>
          <w:tcPr>
            <w:tcW w:w="2214"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SRNS</w:t>
            </w:r>
          </w:p>
          <w:p w:rsidR="00E85834" w:rsidRPr="00D908C6" w:rsidRDefault="00E85834" w:rsidP="00756524">
            <w:pPr>
              <w:spacing w:line="240" w:lineRule="auto"/>
              <w:jc w:val="center"/>
              <w:rPr>
                <w:rFonts w:cstheme="minorHAnsi"/>
                <w:sz w:val="24"/>
                <w:szCs w:val="24"/>
              </w:rPr>
            </w:pPr>
            <w:r w:rsidRPr="00D908C6">
              <w:rPr>
                <w:rFonts w:cstheme="minorHAnsi"/>
                <w:sz w:val="24"/>
                <w:szCs w:val="24"/>
              </w:rPr>
              <w:t>NO. (%)</w:t>
            </w:r>
          </w:p>
        </w:tc>
        <w:tc>
          <w:tcPr>
            <w:tcW w:w="2214"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TOTAL</w:t>
            </w:r>
          </w:p>
        </w:tc>
      </w:tr>
      <w:tr w:rsidR="00E85834" w:rsidRPr="00D908C6" w:rsidTr="00105263">
        <w:tc>
          <w:tcPr>
            <w:tcW w:w="882" w:type="dxa"/>
            <w:tcBorders>
              <w:top w:val="single" w:sz="4" w:space="0" w:color="auto"/>
              <w:left w:val="single" w:sz="4" w:space="0" w:color="auto"/>
              <w:bottom w:val="single" w:sz="4" w:space="0" w:color="auto"/>
              <w:right w:val="single" w:sz="4" w:space="0" w:color="auto"/>
            </w:tcBorders>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F</w:t>
            </w:r>
          </w:p>
          <w:p w:rsidR="00E85834" w:rsidRPr="00D908C6" w:rsidRDefault="00E85834" w:rsidP="00756524">
            <w:pPr>
              <w:spacing w:line="240" w:lineRule="auto"/>
              <w:jc w:val="center"/>
              <w:rPr>
                <w:rFonts w:cstheme="minorHAnsi"/>
                <w:sz w:val="24"/>
                <w:szCs w:val="24"/>
              </w:rPr>
            </w:pPr>
          </w:p>
          <w:p w:rsidR="00E85834" w:rsidRPr="00D908C6" w:rsidRDefault="00E85834" w:rsidP="00756524">
            <w:pPr>
              <w:spacing w:line="240" w:lineRule="auto"/>
              <w:jc w:val="center"/>
              <w:rPr>
                <w:rFonts w:cstheme="minorHAnsi"/>
                <w:sz w:val="24"/>
                <w:szCs w:val="24"/>
              </w:rPr>
            </w:pPr>
            <w:r w:rsidRPr="00D908C6">
              <w:rPr>
                <w:rFonts w:cstheme="minorHAnsi"/>
                <w:sz w:val="24"/>
                <w:szCs w:val="24"/>
              </w:rPr>
              <w:t>M</w:t>
            </w:r>
          </w:p>
        </w:tc>
        <w:tc>
          <w:tcPr>
            <w:tcW w:w="3600" w:type="dxa"/>
            <w:tcBorders>
              <w:top w:val="single" w:sz="4" w:space="0" w:color="auto"/>
              <w:left w:val="single" w:sz="4" w:space="0" w:color="auto"/>
              <w:bottom w:val="single" w:sz="4" w:space="0" w:color="auto"/>
              <w:right w:val="single" w:sz="4" w:space="0" w:color="auto"/>
            </w:tcBorders>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7 (63.3%)</w:t>
            </w:r>
          </w:p>
          <w:p w:rsidR="00E85834" w:rsidRPr="00D908C6" w:rsidRDefault="00E85834" w:rsidP="00756524">
            <w:pPr>
              <w:spacing w:line="240" w:lineRule="auto"/>
              <w:jc w:val="center"/>
              <w:rPr>
                <w:rFonts w:cstheme="minorHAnsi"/>
                <w:sz w:val="24"/>
                <w:szCs w:val="24"/>
              </w:rPr>
            </w:pPr>
          </w:p>
          <w:p w:rsidR="00E85834" w:rsidRPr="00D908C6" w:rsidRDefault="00E85834" w:rsidP="00756524">
            <w:pPr>
              <w:spacing w:line="240" w:lineRule="auto"/>
              <w:jc w:val="center"/>
              <w:rPr>
                <w:rFonts w:cstheme="minorHAnsi"/>
                <w:sz w:val="24"/>
                <w:szCs w:val="24"/>
              </w:rPr>
            </w:pPr>
            <w:r w:rsidRPr="00D908C6">
              <w:rPr>
                <w:rFonts w:cstheme="minorHAnsi"/>
                <w:sz w:val="24"/>
                <w:szCs w:val="24"/>
              </w:rPr>
              <w:t>4 (36.4%)</w:t>
            </w:r>
          </w:p>
        </w:tc>
        <w:tc>
          <w:tcPr>
            <w:tcW w:w="2214" w:type="dxa"/>
            <w:tcBorders>
              <w:top w:val="single" w:sz="4" w:space="0" w:color="auto"/>
              <w:left w:val="single" w:sz="4" w:space="0" w:color="auto"/>
              <w:bottom w:val="single" w:sz="4" w:space="0" w:color="auto"/>
              <w:right w:val="single" w:sz="4" w:space="0" w:color="auto"/>
            </w:tcBorders>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3 (37.5%)</w:t>
            </w:r>
          </w:p>
          <w:p w:rsidR="00E85834" w:rsidRPr="00D908C6" w:rsidRDefault="00E85834" w:rsidP="00756524">
            <w:pPr>
              <w:spacing w:line="240" w:lineRule="auto"/>
              <w:jc w:val="center"/>
              <w:rPr>
                <w:rFonts w:cstheme="minorHAnsi"/>
                <w:sz w:val="24"/>
                <w:szCs w:val="24"/>
              </w:rPr>
            </w:pPr>
          </w:p>
          <w:p w:rsidR="00E85834" w:rsidRPr="00D908C6" w:rsidRDefault="00E85834" w:rsidP="00756524">
            <w:pPr>
              <w:spacing w:line="240" w:lineRule="auto"/>
              <w:jc w:val="center"/>
              <w:rPr>
                <w:rFonts w:cstheme="minorHAnsi"/>
                <w:sz w:val="24"/>
                <w:szCs w:val="24"/>
              </w:rPr>
            </w:pPr>
            <w:r w:rsidRPr="00D908C6">
              <w:rPr>
                <w:rFonts w:cstheme="minorHAnsi"/>
                <w:sz w:val="24"/>
                <w:szCs w:val="24"/>
              </w:rPr>
              <w:t>5 (62.5%)</w:t>
            </w:r>
          </w:p>
        </w:tc>
        <w:tc>
          <w:tcPr>
            <w:tcW w:w="2214" w:type="dxa"/>
            <w:tcBorders>
              <w:top w:val="single" w:sz="4" w:space="0" w:color="auto"/>
              <w:left w:val="single" w:sz="4" w:space="0" w:color="auto"/>
              <w:bottom w:val="single" w:sz="4" w:space="0" w:color="auto"/>
              <w:right w:val="single" w:sz="4" w:space="0" w:color="auto"/>
            </w:tcBorders>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10</w:t>
            </w:r>
          </w:p>
          <w:p w:rsidR="00E85834" w:rsidRPr="00D908C6" w:rsidRDefault="00E85834" w:rsidP="00756524">
            <w:pPr>
              <w:spacing w:line="240" w:lineRule="auto"/>
              <w:jc w:val="center"/>
              <w:rPr>
                <w:rFonts w:cstheme="minorHAnsi"/>
                <w:sz w:val="24"/>
                <w:szCs w:val="24"/>
              </w:rPr>
            </w:pPr>
          </w:p>
          <w:p w:rsidR="00E85834" w:rsidRPr="00D908C6" w:rsidRDefault="00E85834" w:rsidP="00756524">
            <w:pPr>
              <w:spacing w:line="240" w:lineRule="auto"/>
              <w:jc w:val="center"/>
              <w:rPr>
                <w:rFonts w:cstheme="minorHAnsi"/>
                <w:sz w:val="24"/>
                <w:szCs w:val="24"/>
              </w:rPr>
            </w:pPr>
            <w:r w:rsidRPr="00D908C6">
              <w:rPr>
                <w:rFonts w:cstheme="minorHAnsi"/>
                <w:sz w:val="24"/>
                <w:szCs w:val="24"/>
              </w:rPr>
              <w:t>9</w:t>
            </w:r>
          </w:p>
        </w:tc>
      </w:tr>
      <w:tr w:rsidR="00E85834" w:rsidRPr="00D908C6" w:rsidTr="00105263">
        <w:tc>
          <w:tcPr>
            <w:tcW w:w="882"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Total</w:t>
            </w:r>
          </w:p>
        </w:tc>
        <w:tc>
          <w:tcPr>
            <w:tcW w:w="3600"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11 (100%)</w:t>
            </w:r>
          </w:p>
        </w:tc>
        <w:tc>
          <w:tcPr>
            <w:tcW w:w="2214"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8 (100%)</w:t>
            </w:r>
          </w:p>
        </w:tc>
        <w:tc>
          <w:tcPr>
            <w:tcW w:w="2214"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19 (100%)</w:t>
            </w:r>
          </w:p>
        </w:tc>
      </w:tr>
    </w:tbl>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b/>
          <w:i/>
          <w:sz w:val="24"/>
          <w:szCs w:val="24"/>
        </w:rPr>
      </w:pPr>
      <w:r w:rsidRPr="00D908C6">
        <w:rPr>
          <w:rFonts w:cstheme="minorHAnsi"/>
          <w:b/>
          <w:i/>
          <w:sz w:val="24"/>
          <w:szCs w:val="24"/>
        </w:rPr>
        <w:t>Table 3: Shows variation of SRNS and SDNS with age</w:t>
      </w:r>
    </w:p>
    <w:tbl>
      <w:tblPr>
        <w:tblStyle w:val="TableGrid"/>
        <w:tblW w:w="0" w:type="auto"/>
        <w:tblLook w:val="01E0" w:firstRow="1" w:lastRow="1" w:firstColumn="1" w:lastColumn="1" w:noHBand="0" w:noVBand="0"/>
      </w:tblPr>
      <w:tblGrid>
        <w:gridCol w:w="1548"/>
        <w:gridCol w:w="2897"/>
        <w:gridCol w:w="2205"/>
        <w:gridCol w:w="2206"/>
      </w:tblGrid>
      <w:tr w:rsidR="00E85834" w:rsidRPr="00D908C6" w:rsidTr="00105263">
        <w:tc>
          <w:tcPr>
            <w:tcW w:w="1548"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AGE RANGE</w:t>
            </w:r>
          </w:p>
        </w:tc>
        <w:tc>
          <w:tcPr>
            <w:tcW w:w="2897"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SDNS</w:t>
            </w:r>
          </w:p>
        </w:tc>
        <w:tc>
          <w:tcPr>
            <w:tcW w:w="2205"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SRNS</w:t>
            </w:r>
          </w:p>
        </w:tc>
        <w:tc>
          <w:tcPr>
            <w:tcW w:w="2206"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b/>
                <w:sz w:val="24"/>
                <w:szCs w:val="24"/>
              </w:rPr>
            </w:pPr>
            <w:r w:rsidRPr="00D908C6">
              <w:rPr>
                <w:rFonts w:cstheme="minorHAnsi"/>
                <w:b/>
                <w:sz w:val="24"/>
                <w:szCs w:val="24"/>
              </w:rPr>
              <w:t>TOTAL</w:t>
            </w:r>
          </w:p>
        </w:tc>
      </w:tr>
      <w:tr w:rsidR="00E85834" w:rsidRPr="00D908C6" w:rsidTr="00105263">
        <w:tc>
          <w:tcPr>
            <w:tcW w:w="1548"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right"/>
              <w:rPr>
                <w:rFonts w:cstheme="minorHAnsi"/>
                <w:sz w:val="24"/>
                <w:szCs w:val="24"/>
              </w:rPr>
            </w:pPr>
            <w:r w:rsidRPr="00D908C6">
              <w:rPr>
                <w:rFonts w:cstheme="minorHAnsi"/>
                <w:sz w:val="24"/>
                <w:szCs w:val="24"/>
              </w:rPr>
              <w:t>0-5 yrs.</w:t>
            </w:r>
          </w:p>
        </w:tc>
        <w:tc>
          <w:tcPr>
            <w:tcW w:w="2897"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3</w:t>
            </w:r>
          </w:p>
        </w:tc>
        <w:tc>
          <w:tcPr>
            <w:tcW w:w="2205"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2</w:t>
            </w:r>
          </w:p>
        </w:tc>
        <w:tc>
          <w:tcPr>
            <w:tcW w:w="2206"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5</w:t>
            </w:r>
          </w:p>
        </w:tc>
      </w:tr>
      <w:tr w:rsidR="00E85834" w:rsidRPr="00D908C6" w:rsidTr="00105263">
        <w:tc>
          <w:tcPr>
            <w:tcW w:w="1548"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right"/>
              <w:rPr>
                <w:rFonts w:cstheme="minorHAnsi"/>
                <w:sz w:val="24"/>
                <w:szCs w:val="24"/>
              </w:rPr>
            </w:pPr>
            <w:r w:rsidRPr="00D908C6">
              <w:rPr>
                <w:rFonts w:cstheme="minorHAnsi"/>
                <w:sz w:val="24"/>
                <w:szCs w:val="24"/>
              </w:rPr>
              <w:t>6-10 yrs.</w:t>
            </w:r>
          </w:p>
        </w:tc>
        <w:tc>
          <w:tcPr>
            <w:tcW w:w="2897"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2</w:t>
            </w:r>
          </w:p>
        </w:tc>
        <w:tc>
          <w:tcPr>
            <w:tcW w:w="2205"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2</w:t>
            </w:r>
          </w:p>
        </w:tc>
        <w:tc>
          <w:tcPr>
            <w:tcW w:w="2206"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4</w:t>
            </w:r>
          </w:p>
        </w:tc>
      </w:tr>
      <w:tr w:rsidR="00E85834" w:rsidRPr="00D908C6" w:rsidTr="00105263">
        <w:tc>
          <w:tcPr>
            <w:tcW w:w="1548"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right"/>
              <w:rPr>
                <w:rFonts w:cstheme="minorHAnsi"/>
                <w:sz w:val="24"/>
                <w:szCs w:val="24"/>
              </w:rPr>
            </w:pPr>
            <w:r w:rsidRPr="00D908C6">
              <w:rPr>
                <w:rFonts w:cstheme="minorHAnsi"/>
                <w:sz w:val="24"/>
                <w:szCs w:val="24"/>
              </w:rPr>
              <w:t>11-15 yrs.</w:t>
            </w:r>
          </w:p>
        </w:tc>
        <w:tc>
          <w:tcPr>
            <w:tcW w:w="2897"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1</w:t>
            </w:r>
          </w:p>
        </w:tc>
        <w:tc>
          <w:tcPr>
            <w:tcW w:w="2205"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2</w:t>
            </w:r>
          </w:p>
        </w:tc>
        <w:tc>
          <w:tcPr>
            <w:tcW w:w="2206"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3</w:t>
            </w:r>
          </w:p>
        </w:tc>
      </w:tr>
      <w:tr w:rsidR="00E85834" w:rsidRPr="00D908C6" w:rsidTr="00105263">
        <w:tc>
          <w:tcPr>
            <w:tcW w:w="1548"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right"/>
              <w:rPr>
                <w:rFonts w:cstheme="minorHAnsi"/>
                <w:sz w:val="24"/>
                <w:szCs w:val="24"/>
              </w:rPr>
            </w:pPr>
            <w:r w:rsidRPr="00D908C6">
              <w:rPr>
                <w:rFonts w:cstheme="minorHAnsi"/>
                <w:sz w:val="24"/>
                <w:szCs w:val="24"/>
              </w:rPr>
              <w:t>≥ 15 yrs.</w:t>
            </w:r>
          </w:p>
        </w:tc>
        <w:tc>
          <w:tcPr>
            <w:tcW w:w="2897"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5</w:t>
            </w:r>
          </w:p>
        </w:tc>
        <w:tc>
          <w:tcPr>
            <w:tcW w:w="2205"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2</w:t>
            </w:r>
          </w:p>
        </w:tc>
        <w:tc>
          <w:tcPr>
            <w:tcW w:w="2206"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7</w:t>
            </w:r>
          </w:p>
        </w:tc>
      </w:tr>
      <w:tr w:rsidR="00E85834" w:rsidRPr="00D908C6" w:rsidTr="00105263">
        <w:tc>
          <w:tcPr>
            <w:tcW w:w="1548" w:type="dxa"/>
            <w:tcBorders>
              <w:top w:val="single" w:sz="4" w:space="0" w:color="auto"/>
              <w:left w:val="single" w:sz="4" w:space="0" w:color="auto"/>
              <w:bottom w:val="single" w:sz="4" w:space="0" w:color="auto"/>
              <w:right w:val="single" w:sz="4" w:space="0" w:color="auto"/>
            </w:tcBorders>
          </w:tcPr>
          <w:p w:rsidR="00E85834" w:rsidRPr="00D908C6" w:rsidRDefault="00E85834" w:rsidP="00756524">
            <w:pPr>
              <w:spacing w:line="240" w:lineRule="auto"/>
              <w:rPr>
                <w:rFonts w:cstheme="minorHAnsi"/>
                <w:sz w:val="24"/>
                <w:szCs w:val="24"/>
              </w:rPr>
            </w:pPr>
          </w:p>
        </w:tc>
        <w:tc>
          <w:tcPr>
            <w:tcW w:w="2897"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11</w:t>
            </w:r>
          </w:p>
        </w:tc>
        <w:tc>
          <w:tcPr>
            <w:tcW w:w="2205"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8</w:t>
            </w:r>
          </w:p>
        </w:tc>
        <w:tc>
          <w:tcPr>
            <w:tcW w:w="2206" w:type="dxa"/>
            <w:tcBorders>
              <w:top w:val="single" w:sz="4" w:space="0" w:color="auto"/>
              <w:left w:val="single" w:sz="4" w:space="0" w:color="auto"/>
              <w:bottom w:val="single" w:sz="4" w:space="0" w:color="auto"/>
              <w:right w:val="single" w:sz="4" w:space="0" w:color="auto"/>
            </w:tcBorders>
            <w:hideMark/>
          </w:tcPr>
          <w:p w:rsidR="00E85834" w:rsidRPr="00D908C6" w:rsidRDefault="00E85834" w:rsidP="00756524">
            <w:pPr>
              <w:spacing w:line="240" w:lineRule="auto"/>
              <w:jc w:val="center"/>
              <w:rPr>
                <w:rFonts w:cstheme="minorHAnsi"/>
                <w:sz w:val="24"/>
                <w:szCs w:val="24"/>
              </w:rPr>
            </w:pPr>
            <w:r w:rsidRPr="00D908C6">
              <w:rPr>
                <w:rFonts w:cstheme="minorHAnsi"/>
                <w:sz w:val="24"/>
                <w:szCs w:val="24"/>
              </w:rPr>
              <w:t>19</w:t>
            </w:r>
          </w:p>
        </w:tc>
      </w:tr>
    </w:tbl>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sz w:val="24"/>
          <w:szCs w:val="24"/>
        </w:rPr>
      </w:pPr>
      <w:r w:rsidRPr="00D908C6">
        <w:rPr>
          <w:rFonts w:cstheme="minorHAnsi"/>
          <w:sz w:val="24"/>
          <w:szCs w:val="24"/>
        </w:rPr>
        <w:br w:type="page"/>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b/>
          <w:i/>
          <w:sz w:val="24"/>
          <w:szCs w:val="24"/>
        </w:rPr>
      </w:pPr>
      <w:r w:rsidRPr="00D908C6">
        <w:rPr>
          <w:rFonts w:cstheme="minorHAnsi"/>
          <w:b/>
          <w:i/>
          <w:sz w:val="24"/>
          <w:szCs w:val="24"/>
        </w:rPr>
        <w:t xml:space="preserve">              Figure 1: showing age distribution of patients.</w:t>
      </w:r>
    </w:p>
    <w:p w:rsidR="00E85834" w:rsidRPr="00D908C6" w:rsidRDefault="00E85834" w:rsidP="00756524">
      <w:pPr>
        <w:spacing w:line="240" w:lineRule="auto"/>
        <w:jc w:val="both"/>
        <w:rPr>
          <w:rFonts w:cstheme="minorHAnsi"/>
          <w:sz w:val="24"/>
          <w:szCs w:val="24"/>
        </w:rPr>
      </w:pPr>
      <w:r w:rsidRPr="00D908C6">
        <w:rPr>
          <w:rFonts w:cstheme="minorHAnsi"/>
          <w:noProof/>
          <w:sz w:val="24"/>
          <w:szCs w:val="24"/>
          <w:lang w:eastAsia="en-GB"/>
        </w:rPr>
        <w:drawing>
          <wp:anchor distT="0" distB="0" distL="114300" distR="114300" simplePos="0" relativeHeight="251659264" behindDoc="0" locked="0" layoutInCell="1" allowOverlap="1" wp14:anchorId="4122AA83" wp14:editId="69F43F73">
            <wp:simplePos x="0" y="0"/>
            <wp:positionH relativeFrom="column">
              <wp:posOffset>198120</wp:posOffset>
            </wp:positionH>
            <wp:positionV relativeFrom="paragraph">
              <wp:posOffset>128905</wp:posOffset>
            </wp:positionV>
            <wp:extent cx="4533900" cy="3299460"/>
            <wp:effectExtent l="0" t="0" r="19050" b="15240"/>
            <wp:wrapSquare wrapText="bothSides"/>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0E22BE6-2FC8-4BFD-9C01-69EE078035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jc w:val="both"/>
        <w:rPr>
          <w:rFonts w:cstheme="minorHAnsi"/>
          <w:sz w:val="24"/>
          <w:szCs w:val="24"/>
        </w:rPr>
      </w:pPr>
    </w:p>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sz w:val="24"/>
          <w:szCs w:val="24"/>
        </w:rPr>
      </w:pPr>
    </w:p>
    <w:p w:rsidR="00E85834" w:rsidRPr="00D908C6" w:rsidRDefault="00E85834" w:rsidP="00756524">
      <w:pPr>
        <w:spacing w:line="240" w:lineRule="auto"/>
        <w:rPr>
          <w:rFonts w:cstheme="minorHAnsi"/>
          <w:sz w:val="24"/>
          <w:szCs w:val="24"/>
        </w:rPr>
      </w:pPr>
    </w:p>
    <w:p w:rsidR="00D908C6" w:rsidRDefault="00D908C6" w:rsidP="00756524">
      <w:pPr>
        <w:spacing w:line="240" w:lineRule="auto"/>
        <w:rPr>
          <w:rFonts w:cstheme="minorHAnsi"/>
          <w:b/>
          <w:sz w:val="24"/>
          <w:szCs w:val="24"/>
        </w:rPr>
      </w:pPr>
    </w:p>
    <w:p w:rsidR="00E85834" w:rsidRPr="00D908C6" w:rsidRDefault="00E85834" w:rsidP="00756524">
      <w:pPr>
        <w:spacing w:line="240" w:lineRule="auto"/>
        <w:rPr>
          <w:rFonts w:cstheme="minorHAnsi"/>
          <w:b/>
          <w:i/>
          <w:sz w:val="24"/>
          <w:szCs w:val="24"/>
        </w:rPr>
      </w:pPr>
      <w:r w:rsidRPr="00D908C6">
        <w:rPr>
          <w:rFonts w:cstheme="minorHAnsi"/>
          <w:b/>
          <w:i/>
          <w:sz w:val="24"/>
          <w:szCs w:val="24"/>
        </w:rPr>
        <w:t xml:space="preserve">Figure </w:t>
      </w:r>
      <w:proofErr w:type="gramStart"/>
      <w:r w:rsidRPr="00D908C6">
        <w:rPr>
          <w:rFonts w:cstheme="minorHAnsi"/>
          <w:b/>
          <w:i/>
          <w:sz w:val="24"/>
          <w:szCs w:val="24"/>
        </w:rPr>
        <w:t>2 :</w:t>
      </w:r>
      <w:proofErr w:type="gramEnd"/>
      <w:r w:rsidRPr="00D908C6">
        <w:rPr>
          <w:rFonts w:cstheme="minorHAnsi"/>
          <w:b/>
          <w:i/>
          <w:sz w:val="24"/>
          <w:szCs w:val="24"/>
        </w:rPr>
        <w:t xml:space="preserve"> Clinical indications for biopsy</w:t>
      </w:r>
    </w:p>
    <w:p w:rsidR="00E85834" w:rsidRPr="00D908C6" w:rsidRDefault="00E85834" w:rsidP="00756524">
      <w:pPr>
        <w:spacing w:line="240" w:lineRule="auto"/>
        <w:rPr>
          <w:rFonts w:cstheme="minorHAnsi"/>
          <w:sz w:val="24"/>
          <w:szCs w:val="24"/>
        </w:rPr>
      </w:pPr>
      <w:r w:rsidRPr="00D908C6">
        <w:rPr>
          <w:rFonts w:cstheme="minorHAnsi"/>
          <w:noProof/>
          <w:sz w:val="24"/>
          <w:szCs w:val="24"/>
          <w:lang w:eastAsia="en-GB"/>
        </w:rPr>
        <w:drawing>
          <wp:inline distT="0" distB="0" distL="0" distR="0" wp14:anchorId="5A331324" wp14:editId="74722949">
            <wp:extent cx="3333750" cy="2157412"/>
            <wp:effectExtent l="0" t="0" r="19050" b="14605"/>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11F1EAD-A50B-4679-820F-0EC9DCF3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5834" w:rsidRPr="00D908C6" w:rsidRDefault="00E85834" w:rsidP="00756524">
      <w:pPr>
        <w:spacing w:line="240" w:lineRule="auto"/>
        <w:jc w:val="both"/>
        <w:rPr>
          <w:rFonts w:cstheme="minorHAnsi"/>
          <w:b/>
          <w:sz w:val="24"/>
          <w:szCs w:val="24"/>
        </w:rPr>
      </w:pPr>
    </w:p>
    <w:p w:rsidR="00E85834" w:rsidRPr="00D908C6" w:rsidRDefault="00E85834" w:rsidP="00756524">
      <w:pPr>
        <w:spacing w:line="240" w:lineRule="auto"/>
        <w:jc w:val="both"/>
        <w:rPr>
          <w:rFonts w:cstheme="minorHAnsi"/>
          <w:sz w:val="24"/>
          <w:szCs w:val="24"/>
        </w:rPr>
      </w:pPr>
    </w:p>
    <w:p w:rsidR="00A82E1A" w:rsidRPr="00D908C6" w:rsidRDefault="00A82E1A">
      <w:pPr>
        <w:spacing w:after="0" w:line="240" w:lineRule="auto"/>
        <w:rPr>
          <w:rFonts w:cstheme="minorHAnsi"/>
          <w:sz w:val="24"/>
          <w:szCs w:val="24"/>
        </w:rPr>
      </w:pPr>
      <w:r w:rsidRPr="00D908C6">
        <w:rPr>
          <w:rFonts w:cstheme="minorHAnsi"/>
          <w:sz w:val="24"/>
          <w:szCs w:val="24"/>
        </w:rPr>
        <w:br w:type="page"/>
      </w:r>
    </w:p>
    <w:p w:rsidR="00D07D8F" w:rsidRPr="00D908C6" w:rsidRDefault="00D07D8F" w:rsidP="00756524">
      <w:pPr>
        <w:spacing w:line="240" w:lineRule="auto"/>
        <w:jc w:val="both"/>
        <w:rPr>
          <w:rFonts w:cstheme="minorHAnsi"/>
          <w:b/>
          <w:i/>
          <w:sz w:val="24"/>
          <w:szCs w:val="24"/>
        </w:rPr>
      </w:pPr>
      <w:r w:rsidRPr="00D908C6">
        <w:rPr>
          <w:rFonts w:cstheme="minorHAnsi"/>
          <w:b/>
          <w:i/>
          <w:sz w:val="24"/>
          <w:szCs w:val="24"/>
        </w:rPr>
        <w:lastRenderedPageBreak/>
        <w:t xml:space="preserve">Conflict Of Interest </w:t>
      </w:r>
    </w:p>
    <w:p w:rsidR="00D07D8F" w:rsidRPr="00D908C6" w:rsidRDefault="00D07D8F" w:rsidP="00756524">
      <w:pPr>
        <w:spacing w:line="240" w:lineRule="auto"/>
        <w:jc w:val="both"/>
        <w:rPr>
          <w:rFonts w:cstheme="minorHAnsi"/>
          <w:sz w:val="24"/>
          <w:szCs w:val="24"/>
        </w:rPr>
      </w:pPr>
      <w:r w:rsidRPr="00D908C6">
        <w:rPr>
          <w:rFonts w:cstheme="minorHAnsi"/>
          <w:sz w:val="24"/>
          <w:szCs w:val="24"/>
        </w:rPr>
        <w:t xml:space="preserve">The authors declare no conflict of interest in this study. </w:t>
      </w:r>
    </w:p>
    <w:p w:rsidR="00A82E1A" w:rsidRPr="00D908C6" w:rsidRDefault="00A82E1A">
      <w:pPr>
        <w:spacing w:after="0" w:line="240" w:lineRule="auto"/>
        <w:rPr>
          <w:rFonts w:cstheme="minorHAnsi"/>
          <w:sz w:val="24"/>
          <w:szCs w:val="24"/>
        </w:rPr>
      </w:pPr>
      <w:r w:rsidRPr="00D908C6">
        <w:rPr>
          <w:rFonts w:cstheme="minorHAnsi"/>
          <w:sz w:val="24"/>
          <w:szCs w:val="24"/>
        </w:rPr>
        <w:br w:type="page"/>
      </w:r>
    </w:p>
    <w:p w:rsidR="00E85834" w:rsidRPr="00D908C6" w:rsidRDefault="00E85834" w:rsidP="00756524">
      <w:pPr>
        <w:spacing w:line="240" w:lineRule="auto"/>
        <w:jc w:val="both"/>
        <w:rPr>
          <w:rFonts w:cstheme="minorHAnsi"/>
          <w:b/>
          <w:i/>
          <w:sz w:val="24"/>
          <w:szCs w:val="24"/>
        </w:rPr>
      </w:pPr>
      <w:r w:rsidRPr="00D908C6">
        <w:rPr>
          <w:rFonts w:cstheme="minorHAnsi"/>
          <w:b/>
          <w:i/>
          <w:sz w:val="24"/>
          <w:szCs w:val="24"/>
        </w:rPr>
        <w:lastRenderedPageBreak/>
        <w:t>References</w:t>
      </w:r>
    </w:p>
    <w:p w:rsidR="00E85834" w:rsidRPr="00D908C6" w:rsidRDefault="00E85834" w:rsidP="00756524">
      <w:pPr>
        <w:spacing w:line="240" w:lineRule="auto"/>
        <w:ind w:left="720" w:hanging="720"/>
        <w:rPr>
          <w:rFonts w:cstheme="minorHAnsi"/>
          <w:sz w:val="24"/>
          <w:szCs w:val="24"/>
        </w:rPr>
      </w:pPr>
      <w:r w:rsidRPr="00D908C6">
        <w:rPr>
          <w:rFonts w:cstheme="minorHAnsi"/>
          <w:sz w:val="24"/>
          <w:szCs w:val="24"/>
        </w:rPr>
        <w:t>1.</w:t>
      </w:r>
      <w:r w:rsidRPr="00D908C6">
        <w:rPr>
          <w:rFonts w:cstheme="minorHAnsi"/>
          <w:sz w:val="24"/>
          <w:szCs w:val="24"/>
        </w:rPr>
        <w:tab/>
      </w:r>
      <w:proofErr w:type="spellStart"/>
      <w:r w:rsidRPr="00D908C6">
        <w:rPr>
          <w:rFonts w:cstheme="minorHAnsi"/>
          <w:sz w:val="24"/>
          <w:szCs w:val="24"/>
        </w:rPr>
        <w:t>Hodson</w:t>
      </w:r>
      <w:proofErr w:type="spellEnd"/>
      <w:r w:rsidRPr="00D908C6">
        <w:rPr>
          <w:rFonts w:cstheme="minorHAnsi"/>
          <w:sz w:val="24"/>
          <w:szCs w:val="24"/>
        </w:rPr>
        <w:t xml:space="preserve"> EM, Willis NS, Craig JC. </w:t>
      </w:r>
      <w:proofErr w:type="gramStart"/>
      <w:r w:rsidRPr="00D908C6">
        <w:rPr>
          <w:rFonts w:cstheme="minorHAnsi"/>
          <w:sz w:val="24"/>
          <w:szCs w:val="24"/>
        </w:rPr>
        <w:t xml:space="preserve">Corticosteroid therapy for </w:t>
      </w:r>
      <w:proofErr w:type="spellStart"/>
      <w:r w:rsidRPr="00D908C6">
        <w:rPr>
          <w:rFonts w:cstheme="minorHAnsi"/>
          <w:sz w:val="24"/>
          <w:szCs w:val="24"/>
        </w:rPr>
        <w:t>nephrotic</w:t>
      </w:r>
      <w:proofErr w:type="spellEnd"/>
      <w:r w:rsidRPr="00D908C6">
        <w:rPr>
          <w:rFonts w:cstheme="minorHAnsi"/>
          <w:sz w:val="24"/>
          <w:szCs w:val="24"/>
        </w:rPr>
        <w:t xml:space="preserve"> syndrome in children.</w:t>
      </w:r>
      <w:proofErr w:type="gramEnd"/>
      <w:r w:rsidRPr="00D908C6">
        <w:rPr>
          <w:rFonts w:cstheme="minorHAnsi"/>
          <w:sz w:val="24"/>
          <w:szCs w:val="24"/>
        </w:rPr>
        <w:t xml:space="preserve"> Cochrane Database </w:t>
      </w:r>
      <w:proofErr w:type="spellStart"/>
      <w:r w:rsidRPr="00D908C6">
        <w:rPr>
          <w:rFonts w:cstheme="minorHAnsi"/>
          <w:sz w:val="24"/>
          <w:szCs w:val="24"/>
        </w:rPr>
        <w:t>Syst</w:t>
      </w:r>
      <w:proofErr w:type="spellEnd"/>
      <w:r w:rsidRPr="00D908C6">
        <w:rPr>
          <w:rFonts w:cstheme="minorHAnsi"/>
          <w:sz w:val="24"/>
          <w:szCs w:val="24"/>
        </w:rPr>
        <w:t xml:space="preserve"> Rev 2007</w:t>
      </w:r>
      <w:proofErr w:type="gramStart"/>
      <w:r w:rsidRPr="00D908C6">
        <w:rPr>
          <w:rFonts w:cstheme="minorHAnsi"/>
          <w:sz w:val="24"/>
          <w:szCs w:val="24"/>
        </w:rPr>
        <w:t>;4</w:t>
      </w:r>
      <w:proofErr w:type="gramEnd"/>
      <w:r w:rsidRPr="00D908C6">
        <w:rPr>
          <w:rFonts w:cstheme="minorHAnsi"/>
          <w:sz w:val="24"/>
          <w:szCs w:val="24"/>
        </w:rPr>
        <w:t>.</w:t>
      </w:r>
    </w:p>
    <w:p w:rsidR="00E85834" w:rsidRPr="00D908C6" w:rsidRDefault="00E85834" w:rsidP="00756524">
      <w:pPr>
        <w:spacing w:line="240" w:lineRule="auto"/>
        <w:ind w:left="720" w:hanging="720"/>
        <w:jc w:val="both"/>
        <w:rPr>
          <w:rFonts w:cstheme="minorHAnsi"/>
          <w:sz w:val="24"/>
          <w:szCs w:val="24"/>
        </w:rPr>
      </w:pPr>
      <w:r w:rsidRPr="00D908C6">
        <w:rPr>
          <w:rFonts w:cstheme="minorHAnsi"/>
          <w:sz w:val="24"/>
          <w:szCs w:val="24"/>
        </w:rPr>
        <w:t>2.</w:t>
      </w:r>
      <w:r w:rsidRPr="00D908C6">
        <w:rPr>
          <w:rFonts w:cstheme="minorHAnsi"/>
          <w:sz w:val="24"/>
          <w:szCs w:val="24"/>
        </w:rPr>
        <w:tab/>
      </w:r>
      <w:proofErr w:type="spellStart"/>
      <w:r w:rsidRPr="00D908C6">
        <w:rPr>
          <w:rFonts w:cstheme="minorHAnsi"/>
          <w:sz w:val="24"/>
          <w:szCs w:val="24"/>
        </w:rPr>
        <w:t>Brodehl</w:t>
      </w:r>
      <w:proofErr w:type="spellEnd"/>
      <w:r w:rsidRPr="00D908C6">
        <w:rPr>
          <w:rFonts w:cstheme="minorHAnsi"/>
          <w:sz w:val="24"/>
          <w:szCs w:val="24"/>
        </w:rPr>
        <w:t xml:space="preserve"> J. The treatment of minimal change </w:t>
      </w:r>
      <w:proofErr w:type="spellStart"/>
      <w:r w:rsidRPr="00D908C6">
        <w:rPr>
          <w:rFonts w:cstheme="minorHAnsi"/>
          <w:sz w:val="24"/>
          <w:szCs w:val="24"/>
        </w:rPr>
        <w:t>nephrotic</w:t>
      </w:r>
      <w:proofErr w:type="spellEnd"/>
      <w:r w:rsidRPr="00D908C6">
        <w:rPr>
          <w:rFonts w:cstheme="minorHAnsi"/>
          <w:sz w:val="24"/>
          <w:szCs w:val="24"/>
        </w:rPr>
        <w:t xml:space="preserve"> syndrome: lessons learned from multicentre co-operative studies. </w:t>
      </w:r>
      <w:proofErr w:type="spellStart"/>
      <w:r w:rsidRPr="00D908C6">
        <w:rPr>
          <w:rFonts w:cstheme="minorHAnsi"/>
          <w:sz w:val="24"/>
          <w:szCs w:val="24"/>
        </w:rPr>
        <w:t>Eur</w:t>
      </w:r>
      <w:proofErr w:type="spellEnd"/>
      <w:r w:rsidRPr="00D908C6">
        <w:rPr>
          <w:rFonts w:cstheme="minorHAnsi"/>
          <w:sz w:val="24"/>
          <w:szCs w:val="24"/>
        </w:rPr>
        <w:t xml:space="preserve"> J </w:t>
      </w:r>
      <w:proofErr w:type="spellStart"/>
      <w:r w:rsidRPr="00D908C6">
        <w:rPr>
          <w:rFonts w:cstheme="minorHAnsi"/>
          <w:sz w:val="24"/>
          <w:szCs w:val="24"/>
        </w:rPr>
        <w:t>Pediat</w:t>
      </w:r>
      <w:proofErr w:type="spellEnd"/>
      <w:r w:rsidRPr="00D908C6">
        <w:rPr>
          <w:rFonts w:cstheme="minorHAnsi"/>
          <w:sz w:val="24"/>
          <w:szCs w:val="24"/>
        </w:rPr>
        <w:t xml:space="preserve"> 1991</w:t>
      </w:r>
      <w:proofErr w:type="gramStart"/>
      <w:r w:rsidRPr="00D908C6">
        <w:rPr>
          <w:rFonts w:cstheme="minorHAnsi"/>
          <w:sz w:val="24"/>
          <w:szCs w:val="24"/>
        </w:rPr>
        <w:t>;150</w:t>
      </w:r>
      <w:proofErr w:type="gramEnd"/>
      <w:r w:rsidRPr="00D908C6">
        <w:rPr>
          <w:rFonts w:cstheme="minorHAnsi"/>
          <w:sz w:val="24"/>
          <w:szCs w:val="24"/>
        </w:rPr>
        <w:t>(6):380-7.</w:t>
      </w:r>
    </w:p>
    <w:p w:rsidR="00E85834" w:rsidRPr="00D908C6" w:rsidRDefault="00E85834" w:rsidP="00756524">
      <w:pPr>
        <w:spacing w:line="240" w:lineRule="auto"/>
        <w:ind w:left="720" w:hanging="720"/>
        <w:jc w:val="both"/>
        <w:rPr>
          <w:rFonts w:cstheme="minorHAnsi"/>
          <w:sz w:val="24"/>
          <w:szCs w:val="24"/>
        </w:rPr>
      </w:pPr>
      <w:r w:rsidRPr="00D908C6">
        <w:rPr>
          <w:rFonts w:cstheme="minorHAnsi"/>
          <w:sz w:val="24"/>
          <w:szCs w:val="24"/>
        </w:rPr>
        <w:t>3.</w:t>
      </w:r>
      <w:r w:rsidRPr="00D908C6">
        <w:rPr>
          <w:rFonts w:cstheme="minorHAnsi"/>
          <w:sz w:val="24"/>
          <w:szCs w:val="24"/>
        </w:rPr>
        <w:tab/>
        <w:t xml:space="preserve">Ali A, Ali MU, </w:t>
      </w:r>
      <w:proofErr w:type="spellStart"/>
      <w:r w:rsidRPr="00D908C6">
        <w:rPr>
          <w:rFonts w:cstheme="minorHAnsi"/>
          <w:sz w:val="24"/>
          <w:szCs w:val="24"/>
        </w:rPr>
        <w:t>Akhtar</w:t>
      </w:r>
      <w:proofErr w:type="spellEnd"/>
      <w:r w:rsidRPr="00D908C6">
        <w:rPr>
          <w:rFonts w:cstheme="minorHAnsi"/>
          <w:sz w:val="24"/>
          <w:szCs w:val="24"/>
        </w:rPr>
        <w:t xml:space="preserve"> SZ. </w:t>
      </w:r>
      <w:proofErr w:type="gramStart"/>
      <w:r w:rsidRPr="00D908C6">
        <w:rPr>
          <w:rFonts w:cstheme="minorHAnsi"/>
          <w:sz w:val="24"/>
          <w:szCs w:val="24"/>
        </w:rPr>
        <w:t>Histological pattern of paediatric renal diseases in Northern Pakistan.</w:t>
      </w:r>
      <w:proofErr w:type="gramEnd"/>
      <w:r w:rsidRPr="00D908C6">
        <w:rPr>
          <w:rFonts w:cstheme="minorHAnsi"/>
          <w:sz w:val="24"/>
          <w:szCs w:val="24"/>
        </w:rPr>
        <w:t xml:space="preserve"> J Pak Med Ass 2011</w:t>
      </w:r>
      <w:proofErr w:type="gramStart"/>
      <w:r w:rsidRPr="00D908C6">
        <w:rPr>
          <w:rFonts w:cstheme="minorHAnsi"/>
          <w:sz w:val="24"/>
          <w:szCs w:val="24"/>
        </w:rPr>
        <w:t>;61</w:t>
      </w:r>
      <w:proofErr w:type="gramEnd"/>
      <w:r w:rsidRPr="00D908C6">
        <w:rPr>
          <w:rFonts w:cstheme="minorHAnsi"/>
          <w:sz w:val="24"/>
          <w:szCs w:val="24"/>
        </w:rPr>
        <w:t xml:space="preserve">(7): 653-8. </w:t>
      </w:r>
    </w:p>
    <w:p w:rsidR="00E85834" w:rsidRPr="00D908C6" w:rsidRDefault="00E85834" w:rsidP="00756524">
      <w:pPr>
        <w:spacing w:line="240" w:lineRule="auto"/>
        <w:ind w:left="720" w:hanging="720"/>
        <w:jc w:val="both"/>
        <w:rPr>
          <w:rFonts w:cstheme="minorHAnsi"/>
          <w:sz w:val="24"/>
          <w:szCs w:val="24"/>
        </w:rPr>
      </w:pPr>
      <w:r w:rsidRPr="00D908C6">
        <w:rPr>
          <w:rFonts w:cstheme="minorHAnsi"/>
          <w:sz w:val="24"/>
          <w:szCs w:val="24"/>
        </w:rPr>
        <w:t>4.</w:t>
      </w:r>
      <w:r w:rsidRPr="00D908C6">
        <w:rPr>
          <w:rFonts w:cstheme="minorHAnsi"/>
          <w:sz w:val="24"/>
          <w:szCs w:val="24"/>
        </w:rPr>
        <w:tab/>
      </w:r>
      <w:proofErr w:type="spellStart"/>
      <w:r w:rsidRPr="00D908C6">
        <w:rPr>
          <w:rFonts w:cstheme="minorHAnsi"/>
          <w:sz w:val="24"/>
          <w:szCs w:val="24"/>
        </w:rPr>
        <w:t>Saca</w:t>
      </w:r>
      <w:proofErr w:type="spellEnd"/>
      <w:r w:rsidRPr="00D908C6">
        <w:rPr>
          <w:rFonts w:cstheme="minorHAnsi"/>
          <w:sz w:val="24"/>
          <w:szCs w:val="24"/>
        </w:rPr>
        <w:t xml:space="preserve"> E, </w:t>
      </w:r>
      <w:proofErr w:type="spellStart"/>
      <w:r w:rsidRPr="00D908C6">
        <w:rPr>
          <w:rFonts w:cstheme="minorHAnsi"/>
          <w:sz w:val="24"/>
          <w:szCs w:val="24"/>
        </w:rPr>
        <w:t>Hazza</w:t>
      </w:r>
      <w:proofErr w:type="spellEnd"/>
      <w:r w:rsidRPr="00D908C6">
        <w:rPr>
          <w:rFonts w:cstheme="minorHAnsi"/>
          <w:sz w:val="24"/>
          <w:szCs w:val="24"/>
        </w:rPr>
        <w:t xml:space="preserve"> I. Spectrum of </w:t>
      </w:r>
      <w:proofErr w:type="spellStart"/>
      <w:r w:rsidRPr="00D908C6">
        <w:rPr>
          <w:rFonts w:cstheme="minorHAnsi"/>
          <w:sz w:val="24"/>
          <w:szCs w:val="24"/>
        </w:rPr>
        <w:t>pediatric</w:t>
      </w:r>
      <w:proofErr w:type="spellEnd"/>
      <w:r w:rsidRPr="00D908C6">
        <w:rPr>
          <w:rFonts w:cstheme="minorHAnsi"/>
          <w:sz w:val="24"/>
          <w:szCs w:val="24"/>
        </w:rPr>
        <w:t xml:space="preserve"> glomerular disease (King </w:t>
      </w:r>
      <w:proofErr w:type="spellStart"/>
      <w:r w:rsidRPr="00D908C6">
        <w:rPr>
          <w:rFonts w:cstheme="minorHAnsi"/>
          <w:sz w:val="24"/>
          <w:szCs w:val="24"/>
        </w:rPr>
        <w:t>Husssein</w:t>
      </w:r>
      <w:proofErr w:type="spellEnd"/>
      <w:r w:rsidRPr="00D908C6">
        <w:rPr>
          <w:rFonts w:cstheme="minorHAnsi"/>
          <w:sz w:val="24"/>
          <w:szCs w:val="24"/>
        </w:rPr>
        <w:t xml:space="preserve"> Medical </w:t>
      </w:r>
      <w:proofErr w:type="spellStart"/>
      <w:r w:rsidRPr="00D908C6">
        <w:rPr>
          <w:rFonts w:cstheme="minorHAnsi"/>
          <w:sz w:val="24"/>
          <w:szCs w:val="24"/>
        </w:rPr>
        <w:t>Center</w:t>
      </w:r>
      <w:proofErr w:type="spellEnd"/>
      <w:r w:rsidRPr="00D908C6">
        <w:rPr>
          <w:rFonts w:cstheme="minorHAnsi"/>
          <w:sz w:val="24"/>
          <w:szCs w:val="24"/>
        </w:rPr>
        <w:t>). Jordanian Royal Medical Services 2007</w:t>
      </w:r>
      <w:proofErr w:type="gramStart"/>
      <w:r w:rsidRPr="00D908C6">
        <w:rPr>
          <w:rFonts w:cstheme="minorHAnsi"/>
          <w:sz w:val="24"/>
          <w:szCs w:val="24"/>
        </w:rPr>
        <w:t>;14:34</w:t>
      </w:r>
      <w:proofErr w:type="gramEnd"/>
      <w:r w:rsidRPr="00D908C6">
        <w:rPr>
          <w:rFonts w:cstheme="minorHAnsi"/>
          <w:sz w:val="24"/>
          <w:szCs w:val="24"/>
        </w:rPr>
        <w:t>- 7.</w:t>
      </w:r>
    </w:p>
    <w:p w:rsidR="00E85834" w:rsidRPr="00D908C6" w:rsidRDefault="00E85834" w:rsidP="00756524">
      <w:pPr>
        <w:spacing w:line="240" w:lineRule="auto"/>
        <w:ind w:left="720" w:hanging="720"/>
        <w:jc w:val="both"/>
        <w:rPr>
          <w:rFonts w:cstheme="minorHAnsi"/>
          <w:sz w:val="24"/>
          <w:szCs w:val="24"/>
        </w:rPr>
      </w:pPr>
      <w:r w:rsidRPr="00D908C6">
        <w:rPr>
          <w:rFonts w:cstheme="minorHAnsi"/>
          <w:sz w:val="24"/>
          <w:szCs w:val="24"/>
        </w:rPr>
        <w:t>5.</w:t>
      </w:r>
      <w:r w:rsidRPr="00D908C6">
        <w:rPr>
          <w:rFonts w:cstheme="minorHAnsi"/>
          <w:sz w:val="24"/>
          <w:szCs w:val="24"/>
        </w:rPr>
        <w:tab/>
      </w:r>
      <w:proofErr w:type="spellStart"/>
      <w:r w:rsidRPr="00D908C6">
        <w:rPr>
          <w:rFonts w:cstheme="minorHAnsi"/>
          <w:sz w:val="24"/>
          <w:szCs w:val="24"/>
        </w:rPr>
        <w:t>Alebiosu</w:t>
      </w:r>
      <w:proofErr w:type="spellEnd"/>
      <w:r w:rsidRPr="00D908C6">
        <w:rPr>
          <w:rFonts w:cstheme="minorHAnsi"/>
          <w:sz w:val="24"/>
          <w:szCs w:val="24"/>
        </w:rPr>
        <w:t xml:space="preserve"> CO, </w:t>
      </w:r>
      <w:proofErr w:type="spellStart"/>
      <w:r w:rsidRPr="00D908C6">
        <w:rPr>
          <w:rFonts w:cstheme="minorHAnsi"/>
          <w:sz w:val="24"/>
          <w:szCs w:val="24"/>
        </w:rPr>
        <w:t>Kadiri</w:t>
      </w:r>
      <w:proofErr w:type="spellEnd"/>
      <w:r w:rsidRPr="00D908C6">
        <w:rPr>
          <w:rFonts w:cstheme="minorHAnsi"/>
          <w:sz w:val="24"/>
          <w:szCs w:val="24"/>
        </w:rPr>
        <w:t xml:space="preserve"> S. Percutaneous Renal Biopsy as an Outpatient Procedure. J </w:t>
      </w:r>
      <w:proofErr w:type="spellStart"/>
      <w:r w:rsidRPr="00D908C6">
        <w:rPr>
          <w:rFonts w:cstheme="minorHAnsi"/>
          <w:sz w:val="24"/>
          <w:szCs w:val="24"/>
        </w:rPr>
        <w:t>Natl</w:t>
      </w:r>
      <w:proofErr w:type="spellEnd"/>
      <w:r w:rsidRPr="00D908C6">
        <w:rPr>
          <w:rFonts w:cstheme="minorHAnsi"/>
          <w:sz w:val="24"/>
          <w:szCs w:val="24"/>
        </w:rPr>
        <w:t xml:space="preserve"> Med Assoc. 2004</w:t>
      </w:r>
      <w:proofErr w:type="gramStart"/>
      <w:r w:rsidRPr="00D908C6">
        <w:rPr>
          <w:rFonts w:cstheme="minorHAnsi"/>
          <w:sz w:val="24"/>
          <w:szCs w:val="24"/>
        </w:rPr>
        <w:t>;96:1215</w:t>
      </w:r>
      <w:proofErr w:type="gramEnd"/>
      <w:r w:rsidRPr="00D908C6">
        <w:rPr>
          <w:rFonts w:cstheme="minorHAnsi"/>
          <w:sz w:val="24"/>
          <w:szCs w:val="24"/>
        </w:rPr>
        <w:t>-1218.</w:t>
      </w:r>
    </w:p>
    <w:p w:rsidR="00E85834" w:rsidRPr="00D908C6" w:rsidRDefault="00E85834" w:rsidP="00756524">
      <w:pPr>
        <w:spacing w:line="240" w:lineRule="auto"/>
        <w:ind w:left="720" w:hanging="720"/>
        <w:jc w:val="both"/>
        <w:rPr>
          <w:rFonts w:cstheme="minorHAnsi"/>
          <w:sz w:val="24"/>
          <w:szCs w:val="24"/>
        </w:rPr>
      </w:pPr>
      <w:r w:rsidRPr="00D908C6">
        <w:rPr>
          <w:rFonts w:cstheme="minorHAnsi"/>
          <w:sz w:val="24"/>
          <w:szCs w:val="24"/>
        </w:rPr>
        <w:t>6.</w:t>
      </w:r>
      <w:r w:rsidRPr="00D908C6">
        <w:rPr>
          <w:rFonts w:cstheme="minorHAnsi"/>
          <w:sz w:val="24"/>
          <w:szCs w:val="24"/>
        </w:rPr>
        <w:tab/>
        <w:t xml:space="preserve"> </w:t>
      </w:r>
      <w:proofErr w:type="spellStart"/>
      <w:r w:rsidRPr="00D908C6">
        <w:rPr>
          <w:rFonts w:cstheme="minorHAnsi"/>
          <w:sz w:val="24"/>
          <w:szCs w:val="24"/>
        </w:rPr>
        <w:t>Printza</w:t>
      </w:r>
      <w:proofErr w:type="spellEnd"/>
      <w:r w:rsidRPr="00D908C6">
        <w:rPr>
          <w:rFonts w:cstheme="minorHAnsi"/>
          <w:sz w:val="24"/>
          <w:szCs w:val="24"/>
        </w:rPr>
        <w:t xml:space="preserve"> N, </w:t>
      </w:r>
      <w:proofErr w:type="spellStart"/>
      <w:r w:rsidRPr="00D908C6">
        <w:rPr>
          <w:rFonts w:cstheme="minorHAnsi"/>
          <w:sz w:val="24"/>
          <w:szCs w:val="24"/>
        </w:rPr>
        <w:t>Bosdou</w:t>
      </w:r>
      <w:proofErr w:type="spellEnd"/>
      <w:r w:rsidRPr="00D908C6">
        <w:rPr>
          <w:rFonts w:cstheme="minorHAnsi"/>
          <w:sz w:val="24"/>
          <w:szCs w:val="24"/>
        </w:rPr>
        <w:t xml:space="preserve"> J, </w:t>
      </w:r>
      <w:proofErr w:type="spellStart"/>
      <w:r w:rsidRPr="00D908C6">
        <w:rPr>
          <w:rFonts w:cstheme="minorHAnsi"/>
          <w:sz w:val="24"/>
          <w:szCs w:val="24"/>
        </w:rPr>
        <w:t>Pantzaki</w:t>
      </w:r>
      <w:proofErr w:type="spellEnd"/>
      <w:r w:rsidRPr="00D908C6">
        <w:rPr>
          <w:rFonts w:cstheme="minorHAnsi"/>
          <w:sz w:val="24"/>
          <w:szCs w:val="24"/>
        </w:rPr>
        <w:t xml:space="preserve"> A, </w:t>
      </w:r>
      <w:proofErr w:type="spellStart"/>
      <w:r w:rsidRPr="00D908C6">
        <w:rPr>
          <w:rFonts w:cstheme="minorHAnsi"/>
          <w:sz w:val="24"/>
          <w:szCs w:val="24"/>
        </w:rPr>
        <w:t>Badouraki</w:t>
      </w:r>
      <w:proofErr w:type="spellEnd"/>
      <w:r w:rsidRPr="00D908C6">
        <w:rPr>
          <w:rFonts w:cstheme="minorHAnsi"/>
          <w:sz w:val="24"/>
          <w:szCs w:val="24"/>
        </w:rPr>
        <w:t xml:space="preserve"> M, </w:t>
      </w:r>
      <w:proofErr w:type="spellStart"/>
      <w:r w:rsidRPr="00D908C6">
        <w:rPr>
          <w:rFonts w:cstheme="minorHAnsi"/>
          <w:sz w:val="24"/>
          <w:szCs w:val="24"/>
        </w:rPr>
        <w:t>Kollios</w:t>
      </w:r>
      <w:proofErr w:type="spellEnd"/>
      <w:r w:rsidRPr="00D908C6">
        <w:rPr>
          <w:rFonts w:cstheme="minorHAnsi"/>
          <w:sz w:val="24"/>
          <w:szCs w:val="24"/>
        </w:rPr>
        <w:t xml:space="preserve"> K, </w:t>
      </w:r>
      <w:proofErr w:type="spellStart"/>
      <w:r w:rsidRPr="00D908C6">
        <w:rPr>
          <w:rFonts w:cstheme="minorHAnsi"/>
          <w:sz w:val="24"/>
          <w:szCs w:val="24"/>
        </w:rPr>
        <w:t>Ghogha</w:t>
      </w:r>
      <w:proofErr w:type="spellEnd"/>
      <w:r w:rsidRPr="00D908C6">
        <w:rPr>
          <w:rFonts w:cstheme="minorHAnsi"/>
          <w:sz w:val="24"/>
          <w:szCs w:val="24"/>
        </w:rPr>
        <w:t xml:space="preserve"> C, et al. Percutaneous ultrasound-guided renal biopsy in children: a single centre experience. </w:t>
      </w:r>
      <w:proofErr w:type="spellStart"/>
      <w:r w:rsidRPr="00D908C6">
        <w:rPr>
          <w:rFonts w:cstheme="minorHAnsi"/>
          <w:sz w:val="24"/>
          <w:szCs w:val="24"/>
        </w:rPr>
        <w:t>Hippokratia</w:t>
      </w:r>
      <w:proofErr w:type="spellEnd"/>
      <w:r w:rsidRPr="00D908C6">
        <w:rPr>
          <w:rFonts w:cstheme="minorHAnsi"/>
          <w:sz w:val="24"/>
          <w:szCs w:val="24"/>
        </w:rPr>
        <w:t xml:space="preserve"> 2011</w:t>
      </w:r>
      <w:proofErr w:type="gramStart"/>
      <w:r w:rsidRPr="00D908C6">
        <w:rPr>
          <w:rFonts w:cstheme="minorHAnsi"/>
          <w:sz w:val="24"/>
          <w:szCs w:val="24"/>
        </w:rPr>
        <w:t>;15</w:t>
      </w:r>
      <w:proofErr w:type="gramEnd"/>
      <w:r w:rsidRPr="00D908C6">
        <w:rPr>
          <w:rFonts w:cstheme="minorHAnsi"/>
          <w:sz w:val="24"/>
          <w:szCs w:val="24"/>
        </w:rPr>
        <w:t xml:space="preserve">(3):258-261 </w:t>
      </w:r>
    </w:p>
    <w:p w:rsidR="00E85834" w:rsidRPr="00D908C6" w:rsidRDefault="00E85834" w:rsidP="00756524">
      <w:pPr>
        <w:spacing w:line="240" w:lineRule="auto"/>
        <w:jc w:val="both"/>
        <w:rPr>
          <w:rFonts w:cstheme="minorHAnsi"/>
          <w:sz w:val="24"/>
          <w:szCs w:val="24"/>
        </w:rPr>
      </w:pPr>
      <w:r w:rsidRPr="00D908C6">
        <w:rPr>
          <w:rFonts w:cstheme="minorHAnsi"/>
          <w:sz w:val="24"/>
          <w:szCs w:val="24"/>
        </w:rPr>
        <w:t xml:space="preserve"> </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7</w:t>
      </w:r>
      <w:r w:rsidR="00E85834" w:rsidRPr="00D908C6">
        <w:rPr>
          <w:rFonts w:cstheme="minorHAnsi"/>
          <w:sz w:val="24"/>
          <w:szCs w:val="24"/>
        </w:rPr>
        <w:t>.</w:t>
      </w:r>
      <w:r w:rsidR="00E85834" w:rsidRPr="00D908C6">
        <w:rPr>
          <w:rFonts w:cstheme="minorHAnsi"/>
          <w:sz w:val="24"/>
          <w:szCs w:val="24"/>
        </w:rPr>
        <w:tab/>
        <w:t xml:space="preserve"> </w:t>
      </w:r>
      <w:proofErr w:type="spellStart"/>
      <w:r w:rsidR="00E85834" w:rsidRPr="00D908C6">
        <w:rPr>
          <w:rFonts w:cstheme="minorHAnsi"/>
          <w:sz w:val="24"/>
          <w:szCs w:val="24"/>
        </w:rPr>
        <w:t>Chadha</w:t>
      </w:r>
      <w:proofErr w:type="spellEnd"/>
      <w:r w:rsidR="00E85834" w:rsidRPr="00D908C6">
        <w:rPr>
          <w:rFonts w:cstheme="minorHAnsi"/>
          <w:sz w:val="24"/>
          <w:szCs w:val="24"/>
        </w:rPr>
        <w:t xml:space="preserve"> V, </w:t>
      </w:r>
      <w:proofErr w:type="spellStart"/>
      <w:r w:rsidR="00E85834" w:rsidRPr="00D908C6">
        <w:rPr>
          <w:rFonts w:cstheme="minorHAnsi"/>
          <w:sz w:val="24"/>
          <w:szCs w:val="24"/>
        </w:rPr>
        <w:t>Warady</w:t>
      </w:r>
      <w:proofErr w:type="spellEnd"/>
      <w:r w:rsidR="00E85834" w:rsidRPr="00D908C6">
        <w:rPr>
          <w:rFonts w:cstheme="minorHAnsi"/>
          <w:sz w:val="24"/>
          <w:szCs w:val="24"/>
        </w:rPr>
        <w:t xml:space="preserve"> BA. </w:t>
      </w:r>
      <w:proofErr w:type="gramStart"/>
      <w:r w:rsidR="00E85834" w:rsidRPr="00D908C6">
        <w:rPr>
          <w:rFonts w:cstheme="minorHAnsi"/>
          <w:sz w:val="24"/>
          <w:szCs w:val="24"/>
        </w:rPr>
        <w:t xml:space="preserve">Epidemiology of </w:t>
      </w:r>
      <w:proofErr w:type="spellStart"/>
      <w:r w:rsidR="00E85834" w:rsidRPr="00D908C6">
        <w:rPr>
          <w:rFonts w:cstheme="minorHAnsi"/>
          <w:sz w:val="24"/>
          <w:szCs w:val="24"/>
        </w:rPr>
        <w:t>pediatric</w:t>
      </w:r>
      <w:proofErr w:type="spellEnd"/>
      <w:r w:rsidR="00E85834" w:rsidRPr="00D908C6">
        <w:rPr>
          <w:rFonts w:cstheme="minorHAnsi"/>
          <w:sz w:val="24"/>
          <w:szCs w:val="24"/>
        </w:rPr>
        <w:t xml:space="preserve"> chronic kidney disease.</w:t>
      </w:r>
      <w:proofErr w:type="gramEnd"/>
      <w:r w:rsidR="00E85834" w:rsidRPr="00D908C6">
        <w:rPr>
          <w:rFonts w:cstheme="minorHAnsi"/>
          <w:sz w:val="24"/>
          <w:szCs w:val="24"/>
        </w:rPr>
        <w:t xml:space="preserve"> Advances in chronic kidney disease 2005</w:t>
      </w:r>
      <w:proofErr w:type="gramStart"/>
      <w:r w:rsidR="00E85834" w:rsidRPr="00D908C6">
        <w:rPr>
          <w:rFonts w:cstheme="minorHAnsi"/>
          <w:sz w:val="24"/>
          <w:szCs w:val="24"/>
        </w:rPr>
        <w:t>;12</w:t>
      </w:r>
      <w:proofErr w:type="gramEnd"/>
      <w:r w:rsidR="00E85834" w:rsidRPr="00D908C6">
        <w:rPr>
          <w:rFonts w:cstheme="minorHAnsi"/>
          <w:sz w:val="24"/>
          <w:szCs w:val="24"/>
        </w:rPr>
        <w:t xml:space="preserve">(4):343-52. </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8</w:t>
      </w:r>
      <w:r w:rsidR="00E85834" w:rsidRPr="00D908C6">
        <w:rPr>
          <w:rFonts w:cstheme="minorHAnsi"/>
          <w:sz w:val="24"/>
          <w:szCs w:val="24"/>
        </w:rPr>
        <w:t>.</w:t>
      </w:r>
      <w:r w:rsidR="00E85834" w:rsidRPr="00D908C6">
        <w:rPr>
          <w:rFonts w:cstheme="minorHAnsi"/>
          <w:sz w:val="24"/>
          <w:szCs w:val="24"/>
        </w:rPr>
        <w:tab/>
      </w:r>
      <w:proofErr w:type="spellStart"/>
      <w:r w:rsidR="00E85834" w:rsidRPr="00D908C6">
        <w:rPr>
          <w:rFonts w:cstheme="minorHAnsi"/>
          <w:sz w:val="24"/>
          <w:szCs w:val="24"/>
        </w:rPr>
        <w:t>Ocheke</w:t>
      </w:r>
      <w:proofErr w:type="spellEnd"/>
      <w:r w:rsidR="00E85834" w:rsidRPr="00D908C6">
        <w:rPr>
          <w:rFonts w:cstheme="minorHAnsi"/>
          <w:sz w:val="24"/>
          <w:szCs w:val="24"/>
        </w:rPr>
        <w:t xml:space="preserve"> IE, </w:t>
      </w:r>
      <w:proofErr w:type="spellStart"/>
      <w:r w:rsidR="00E85834" w:rsidRPr="00D908C6">
        <w:rPr>
          <w:rFonts w:cstheme="minorHAnsi"/>
          <w:sz w:val="24"/>
          <w:szCs w:val="24"/>
        </w:rPr>
        <w:t>Okolo</w:t>
      </w:r>
      <w:proofErr w:type="spellEnd"/>
      <w:r w:rsidR="00E85834" w:rsidRPr="00D908C6">
        <w:rPr>
          <w:rFonts w:cstheme="minorHAnsi"/>
          <w:sz w:val="24"/>
          <w:szCs w:val="24"/>
        </w:rPr>
        <w:t xml:space="preserve"> SN, Bode-Thomas F, </w:t>
      </w:r>
      <w:proofErr w:type="spellStart"/>
      <w:r w:rsidR="00E85834" w:rsidRPr="00D908C6">
        <w:rPr>
          <w:rFonts w:cstheme="minorHAnsi"/>
          <w:sz w:val="24"/>
          <w:szCs w:val="24"/>
        </w:rPr>
        <w:t>Agaba</w:t>
      </w:r>
      <w:proofErr w:type="spellEnd"/>
      <w:r w:rsidR="00E85834" w:rsidRPr="00D908C6">
        <w:rPr>
          <w:rFonts w:cstheme="minorHAnsi"/>
          <w:sz w:val="24"/>
          <w:szCs w:val="24"/>
        </w:rPr>
        <w:t xml:space="preserve"> EI. Pattern of Childhood Renal Diseases in Jos, Nigeria: A Preliminary Report. J Med in the Tropics 2010</w:t>
      </w:r>
      <w:proofErr w:type="gramStart"/>
      <w:r w:rsidR="00E85834" w:rsidRPr="00D908C6">
        <w:rPr>
          <w:rFonts w:cstheme="minorHAnsi"/>
          <w:sz w:val="24"/>
          <w:szCs w:val="24"/>
        </w:rPr>
        <w:t>;12</w:t>
      </w:r>
      <w:proofErr w:type="gramEnd"/>
      <w:r w:rsidR="00E85834" w:rsidRPr="00D908C6">
        <w:rPr>
          <w:rFonts w:cstheme="minorHAnsi"/>
          <w:sz w:val="24"/>
          <w:szCs w:val="24"/>
        </w:rPr>
        <w:t>(2).</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9</w:t>
      </w:r>
      <w:r w:rsidR="00E85834" w:rsidRPr="00D908C6">
        <w:rPr>
          <w:rFonts w:cstheme="minorHAnsi"/>
          <w:sz w:val="24"/>
          <w:szCs w:val="24"/>
        </w:rPr>
        <w:t>.</w:t>
      </w:r>
      <w:r w:rsidR="00E85834" w:rsidRPr="00D908C6">
        <w:rPr>
          <w:rFonts w:cstheme="minorHAnsi"/>
          <w:sz w:val="24"/>
          <w:szCs w:val="24"/>
        </w:rPr>
        <w:tab/>
      </w:r>
      <w:proofErr w:type="spellStart"/>
      <w:r w:rsidR="00E85834" w:rsidRPr="00D908C6">
        <w:rPr>
          <w:rFonts w:cstheme="minorHAnsi"/>
          <w:sz w:val="24"/>
          <w:szCs w:val="24"/>
        </w:rPr>
        <w:t>Furnes</w:t>
      </w:r>
      <w:proofErr w:type="spellEnd"/>
      <w:r w:rsidR="00E85834" w:rsidRPr="00D908C6">
        <w:rPr>
          <w:rFonts w:cstheme="minorHAnsi"/>
          <w:sz w:val="24"/>
          <w:szCs w:val="24"/>
        </w:rPr>
        <w:t xml:space="preserve"> PN, </w:t>
      </w:r>
      <w:proofErr w:type="spellStart"/>
      <w:r w:rsidR="00E85834" w:rsidRPr="00D908C6">
        <w:rPr>
          <w:rFonts w:cstheme="minorHAnsi"/>
          <w:sz w:val="24"/>
          <w:szCs w:val="24"/>
        </w:rPr>
        <w:t>Kazi</w:t>
      </w:r>
      <w:proofErr w:type="spellEnd"/>
      <w:r w:rsidR="00E85834" w:rsidRPr="00D908C6">
        <w:rPr>
          <w:rFonts w:cstheme="minorHAnsi"/>
          <w:sz w:val="24"/>
          <w:szCs w:val="24"/>
        </w:rPr>
        <w:t xml:space="preserve"> JL. </w:t>
      </w:r>
      <w:proofErr w:type="gramStart"/>
      <w:r w:rsidR="00E85834" w:rsidRPr="00D908C6">
        <w:rPr>
          <w:rFonts w:cstheme="minorHAnsi"/>
          <w:sz w:val="24"/>
          <w:szCs w:val="24"/>
        </w:rPr>
        <w:t>Laboratory investigation of renal biopsy specimen.</w:t>
      </w:r>
      <w:proofErr w:type="gramEnd"/>
      <w:r w:rsidR="00E85834" w:rsidRPr="00D908C6">
        <w:rPr>
          <w:rFonts w:cstheme="minorHAnsi"/>
          <w:sz w:val="24"/>
          <w:szCs w:val="24"/>
        </w:rPr>
        <w:t xml:space="preserve"> J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w:t>
      </w:r>
      <w:proofErr w:type="spellStart"/>
      <w:r w:rsidR="00E85834" w:rsidRPr="00D908C6">
        <w:rPr>
          <w:rFonts w:cstheme="minorHAnsi"/>
          <w:sz w:val="24"/>
          <w:szCs w:val="24"/>
        </w:rPr>
        <w:t>Urol</w:t>
      </w:r>
      <w:proofErr w:type="spellEnd"/>
      <w:r w:rsidR="00E85834" w:rsidRPr="00D908C6">
        <w:rPr>
          <w:rFonts w:cstheme="minorHAnsi"/>
          <w:sz w:val="24"/>
          <w:szCs w:val="24"/>
        </w:rPr>
        <w:t xml:space="preserve"> Transplant 1998</w:t>
      </w:r>
      <w:proofErr w:type="gramStart"/>
      <w:r w:rsidR="00E85834" w:rsidRPr="00D908C6">
        <w:rPr>
          <w:rFonts w:cstheme="minorHAnsi"/>
          <w:sz w:val="24"/>
          <w:szCs w:val="24"/>
        </w:rPr>
        <w:t>;1:19</w:t>
      </w:r>
      <w:proofErr w:type="gramEnd"/>
      <w:r w:rsidR="00E85834" w:rsidRPr="00D908C6">
        <w:rPr>
          <w:rFonts w:cstheme="minorHAnsi"/>
          <w:sz w:val="24"/>
          <w:szCs w:val="24"/>
        </w:rPr>
        <w:t xml:space="preserve">-26.  </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10</w:t>
      </w:r>
      <w:r w:rsidR="00E85834" w:rsidRPr="00D908C6">
        <w:rPr>
          <w:rFonts w:cstheme="minorHAnsi"/>
          <w:sz w:val="24"/>
          <w:szCs w:val="24"/>
        </w:rPr>
        <w:t>.</w:t>
      </w:r>
      <w:r w:rsidR="00E85834" w:rsidRPr="00D908C6">
        <w:rPr>
          <w:rFonts w:cstheme="minorHAnsi"/>
          <w:sz w:val="24"/>
          <w:szCs w:val="24"/>
        </w:rPr>
        <w:tab/>
      </w:r>
      <w:proofErr w:type="spellStart"/>
      <w:r w:rsidR="00E85834" w:rsidRPr="00D908C6">
        <w:rPr>
          <w:rFonts w:cstheme="minorHAnsi"/>
          <w:sz w:val="24"/>
          <w:szCs w:val="24"/>
        </w:rPr>
        <w:t>Madaio</w:t>
      </w:r>
      <w:proofErr w:type="spellEnd"/>
      <w:r w:rsidR="00E85834" w:rsidRPr="00D908C6">
        <w:rPr>
          <w:rFonts w:cstheme="minorHAnsi"/>
          <w:sz w:val="24"/>
          <w:szCs w:val="24"/>
        </w:rPr>
        <w:t xml:space="preserve"> MP, Harrington JT. The diagnosis of glomerular diseases: Acute glomerulonephritis and the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Arch Intern Med 2001</w:t>
      </w:r>
      <w:proofErr w:type="gramStart"/>
      <w:r w:rsidR="00E85834" w:rsidRPr="00D908C6">
        <w:rPr>
          <w:rFonts w:cstheme="minorHAnsi"/>
          <w:sz w:val="24"/>
          <w:szCs w:val="24"/>
        </w:rPr>
        <w:t>;161:25</w:t>
      </w:r>
      <w:proofErr w:type="gramEnd"/>
      <w:r w:rsidR="00E85834" w:rsidRPr="00D908C6">
        <w:rPr>
          <w:rFonts w:cstheme="minorHAnsi"/>
          <w:sz w:val="24"/>
          <w:szCs w:val="24"/>
        </w:rPr>
        <w:t xml:space="preserve">-34.  </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11</w:t>
      </w:r>
      <w:r w:rsidR="00E85834" w:rsidRPr="00D908C6">
        <w:rPr>
          <w:rFonts w:cstheme="minorHAnsi"/>
          <w:sz w:val="24"/>
          <w:szCs w:val="24"/>
        </w:rPr>
        <w:t>.</w:t>
      </w:r>
      <w:r w:rsidR="00E85834" w:rsidRPr="00D908C6">
        <w:rPr>
          <w:rFonts w:cstheme="minorHAnsi"/>
          <w:sz w:val="24"/>
          <w:szCs w:val="24"/>
        </w:rPr>
        <w:tab/>
      </w:r>
      <w:proofErr w:type="spellStart"/>
      <w:r w:rsidR="00E85834" w:rsidRPr="00D908C6">
        <w:rPr>
          <w:rFonts w:cstheme="minorHAnsi"/>
          <w:sz w:val="24"/>
          <w:szCs w:val="24"/>
        </w:rPr>
        <w:t>Chijioke</w:t>
      </w:r>
      <w:proofErr w:type="spellEnd"/>
      <w:r w:rsidR="00E85834" w:rsidRPr="00D908C6">
        <w:rPr>
          <w:rFonts w:cstheme="minorHAnsi"/>
          <w:sz w:val="24"/>
          <w:szCs w:val="24"/>
        </w:rPr>
        <w:t xml:space="preserve"> A, </w:t>
      </w:r>
      <w:proofErr w:type="spellStart"/>
      <w:r w:rsidR="00E85834" w:rsidRPr="00D908C6">
        <w:rPr>
          <w:rFonts w:cstheme="minorHAnsi"/>
          <w:sz w:val="24"/>
          <w:szCs w:val="24"/>
        </w:rPr>
        <w:t>Adebiyi</w:t>
      </w:r>
      <w:proofErr w:type="spellEnd"/>
      <w:r w:rsidR="00E85834" w:rsidRPr="00D908C6">
        <w:rPr>
          <w:rFonts w:cstheme="minorHAnsi"/>
          <w:sz w:val="24"/>
          <w:szCs w:val="24"/>
        </w:rPr>
        <w:t xml:space="preserve"> AB. </w:t>
      </w:r>
      <w:proofErr w:type="spellStart"/>
      <w:r w:rsidR="00E85834" w:rsidRPr="00D908C6">
        <w:rPr>
          <w:rFonts w:cstheme="minorHAnsi"/>
          <w:sz w:val="24"/>
          <w:szCs w:val="24"/>
        </w:rPr>
        <w:t>Clinicopathologic</w:t>
      </w:r>
      <w:proofErr w:type="spellEnd"/>
      <w:r w:rsidR="00E85834" w:rsidRPr="00D908C6">
        <w:rPr>
          <w:rFonts w:cstheme="minorHAnsi"/>
          <w:sz w:val="24"/>
          <w:szCs w:val="24"/>
        </w:rPr>
        <w:t xml:space="preserve"> study of adult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Ilorin Nigeria. Niger Med </w:t>
      </w:r>
      <w:proofErr w:type="spellStart"/>
      <w:r w:rsidR="00E85834" w:rsidRPr="00D908C6">
        <w:rPr>
          <w:rFonts w:cstheme="minorHAnsi"/>
          <w:sz w:val="24"/>
          <w:szCs w:val="24"/>
        </w:rPr>
        <w:t>Pract</w:t>
      </w:r>
      <w:proofErr w:type="spellEnd"/>
      <w:r w:rsidR="00E85834" w:rsidRPr="00D908C6">
        <w:rPr>
          <w:rFonts w:cstheme="minorHAnsi"/>
          <w:sz w:val="24"/>
          <w:szCs w:val="24"/>
        </w:rPr>
        <w:t xml:space="preserve"> 2003</w:t>
      </w:r>
      <w:proofErr w:type="gramStart"/>
      <w:r w:rsidR="00E85834" w:rsidRPr="00D908C6">
        <w:rPr>
          <w:rFonts w:cstheme="minorHAnsi"/>
          <w:sz w:val="24"/>
          <w:szCs w:val="24"/>
        </w:rPr>
        <w:t>;43:28</w:t>
      </w:r>
      <w:proofErr w:type="gramEnd"/>
      <w:r w:rsidR="00E85834" w:rsidRPr="00D908C6">
        <w:rPr>
          <w:rFonts w:cstheme="minorHAnsi"/>
          <w:sz w:val="24"/>
          <w:szCs w:val="24"/>
        </w:rPr>
        <w:t xml:space="preserve">-32.  </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12</w:t>
      </w:r>
      <w:r w:rsidR="00E85834" w:rsidRPr="00D908C6">
        <w:rPr>
          <w:rFonts w:cstheme="minorHAnsi"/>
          <w:sz w:val="24"/>
          <w:szCs w:val="24"/>
        </w:rPr>
        <w:t>.</w:t>
      </w:r>
      <w:r w:rsidR="00E85834" w:rsidRPr="00D908C6">
        <w:rPr>
          <w:rFonts w:cstheme="minorHAnsi"/>
          <w:sz w:val="24"/>
          <w:szCs w:val="24"/>
        </w:rPr>
        <w:tab/>
      </w:r>
      <w:proofErr w:type="spellStart"/>
      <w:r w:rsidR="00E85834" w:rsidRPr="00D908C6">
        <w:rPr>
          <w:rFonts w:cstheme="minorHAnsi"/>
          <w:sz w:val="24"/>
          <w:szCs w:val="24"/>
        </w:rPr>
        <w:t>Churg</w:t>
      </w:r>
      <w:proofErr w:type="spellEnd"/>
      <w:r w:rsidR="00E85834" w:rsidRPr="00D908C6">
        <w:rPr>
          <w:rFonts w:cstheme="minorHAnsi"/>
          <w:sz w:val="24"/>
          <w:szCs w:val="24"/>
        </w:rPr>
        <w:t xml:space="preserve"> J, Bernstein J, </w:t>
      </w:r>
      <w:proofErr w:type="spellStart"/>
      <w:r w:rsidR="00E85834" w:rsidRPr="00D908C6">
        <w:rPr>
          <w:rFonts w:cstheme="minorHAnsi"/>
          <w:sz w:val="24"/>
          <w:szCs w:val="24"/>
        </w:rPr>
        <w:t>Glassock</w:t>
      </w:r>
      <w:proofErr w:type="spellEnd"/>
      <w:r w:rsidR="00E85834" w:rsidRPr="00D908C6">
        <w:rPr>
          <w:rFonts w:cstheme="minorHAnsi"/>
          <w:sz w:val="24"/>
          <w:szCs w:val="24"/>
        </w:rPr>
        <w:t xml:space="preserve"> RJ. Renal Disease: Classification and Atlas of Glomerular Diseases. 2nd </w:t>
      </w:r>
      <w:proofErr w:type="gramStart"/>
      <w:r w:rsidR="00E85834" w:rsidRPr="00D908C6">
        <w:rPr>
          <w:rFonts w:cstheme="minorHAnsi"/>
          <w:sz w:val="24"/>
          <w:szCs w:val="24"/>
        </w:rPr>
        <w:t>ed</w:t>
      </w:r>
      <w:proofErr w:type="gramEnd"/>
      <w:r w:rsidR="00E85834" w:rsidRPr="00D908C6">
        <w:rPr>
          <w:rFonts w:cstheme="minorHAnsi"/>
          <w:sz w:val="24"/>
          <w:szCs w:val="24"/>
        </w:rPr>
        <w:t xml:space="preserve">. New York: </w:t>
      </w:r>
      <w:proofErr w:type="spellStart"/>
      <w:r w:rsidR="00E85834" w:rsidRPr="00D908C6">
        <w:rPr>
          <w:rFonts w:cstheme="minorHAnsi"/>
          <w:sz w:val="24"/>
          <w:szCs w:val="24"/>
        </w:rPr>
        <w:t>Igaku-Shoin</w:t>
      </w:r>
      <w:proofErr w:type="spellEnd"/>
      <w:r w:rsidR="00E85834" w:rsidRPr="00D908C6">
        <w:rPr>
          <w:rFonts w:cstheme="minorHAnsi"/>
          <w:sz w:val="24"/>
          <w:szCs w:val="24"/>
        </w:rPr>
        <w:t>.</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13</w:t>
      </w:r>
      <w:r w:rsidR="00E85834" w:rsidRPr="00D908C6">
        <w:rPr>
          <w:rFonts w:cstheme="minorHAnsi"/>
          <w:sz w:val="24"/>
          <w:szCs w:val="24"/>
        </w:rPr>
        <w:t xml:space="preserve">.        </w:t>
      </w:r>
      <w:proofErr w:type="spellStart"/>
      <w:r w:rsidR="00E85834" w:rsidRPr="00D908C6">
        <w:rPr>
          <w:rFonts w:cstheme="minorHAnsi"/>
          <w:sz w:val="24"/>
          <w:szCs w:val="24"/>
        </w:rPr>
        <w:t>Anochie</w:t>
      </w:r>
      <w:proofErr w:type="spellEnd"/>
      <w:r w:rsidR="00E85834" w:rsidRPr="00D908C6">
        <w:rPr>
          <w:rFonts w:cstheme="minorHAnsi"/>
          <w:sz w:val="24"/>
          <w:szCs w:val="24"/>
        </w:rPr>
        <w:t xml:space="preserve"> I, Eke F, </w:t>
      </w:r>
      <w:proofErr w:type="spellStart"/>
      <w:r w:rsidR="00E85834" w:rsidRPr="00D908C6">
        <w:rPr>
          <w:rFonts w:cstheme="minorHAnsi"/>
          <w:sz w:val="24"/>
          <w:szCs w:val="24"/>
        </w:rPr>
        <w:t>Okpere</w:t>
      </w:r>
      <w:proofErr w:type="spellEnd"/>
      <w:r w:rsidR="00E85834" w:rsidRPr="00D908C6">
        <w:rPr>
          <w:rFonts w:cstheme="minorHAnsi"/>
          <w:sz w:val="24"/>
          <w:szCs w:val="24"/>
        </w:rPr>
        <w:t xml:space="preserve"> A. 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Change in pattern and response to steroids. J </w:t>
      </w:r>
      <w:proofErr w:type="spellStart"/>
      <w:r w:rsidR="00E85834" w:rsidRPr="00D908C6">
        <w:rPr>
          <w:rFonts w:cstheme="minorHAnsi"/>
          <w:sz w:val="24"/>
          <w:szCs w:val="24"/>
        </w:rPr>
        <w:t>Natl</w:t>
      </w:r>
      <w:proofErr w:type="spellEnd"/>
      <w:r w:rsidR="00E85834" w:rsidRPr="00D908C6">
        <w:rPr>
          <w:rFonts w:cstheme="minorHAnsi"/>
          <w:sz w:val="24"/>
          <w:szCs w:val="24"/>
        </w:rPr>
        <w:t xml:space="preserve"> Med </w:t>
      </w:r>
      <w:proofErr w:type="spellStart"/>
      <w:r w:rsidR="00E85834" w:rsidRPr="00D908C6">
        <w:rPr>
          <w:rFonts w:cstheme="minorHAnsi"/>
          <w:sz w:val="24"/>
          <w:szCs w:val="24"/>
        </w:rPr>
        <w:t>Assoc</w:t>
      </w:r>
      <w:proofErr w:type="spellEnd"/>
      <w:r w:rsidR="00E85834" w:rsidRPr="00D908C6">
        <w:rPr>
          <w:rFonts w:cstheme="minorHAnsi"/>
          <w:sz w:val="24"/>
          <w:szCs w:val="24"/>
        </w:rPr>
        <w:t xml:space="preserve"> 2006</w:t>
      </w:r>
      <w:proofErr w:type="gramStart"/>
      <w:r w:rsidR="00E85834" w:rsidRPr="00D908C6">
        <w:rPr>
          <w:rFonts w:cstheme="minorHAnsi"/>
          <w:sz w:val="24"/>
          <w:szCs w:val="24"/>
        </w:rPr>
        <w:t>;98:1977</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 xml:space="preserve">81.  </w:t>
      </w:r>
    </w:p>
    <w:p w:rsidR="00E85834" w:rsidRPr="00D908C6" w:rsidRDefault="0093205B" w:rsidP="00756524">
      <w:pPr>
        <w:spacing w:line="240" w:lineRule="auto"/>
        <w:ind w:left="720" w:hanging="720"/>
        <w:jc w:val="both"/>
        <w:rPr>
          <w:rFonts w:cstheme="minorHAnsi"/>
          <w:sz w:val="24"/>
          <w:szCs w:val="24"/>
        </w:rPr>
      </w:pPr>
      <w:proofErr w:type="gramStart"/>
      <w:r>
        <w:rPr>
          <w:rFonts w:cstheme="minorHAnsi"/>
          <w:sz w:val="24"/>
          <w:szCs w:val="24"/>
        </w:rPr>
        <w:t>14</w:t>
      </w:r>
      <w:r w:rsidR="00E85834" w:rsidRPr="00D908C6">
        <w:rPr>
          <w:rFonts w:cstheme="minorHAnsi"/>
          <w:sz w:val="24"/>
          <w:szCs w:val="24"/>
        </w:rPr>
        <w:t xml:space="preserve">       </w:t>
      </w:r>
      <w:proofErr w:type="spellStart"/>
      <w:r w:rsidR="00E85834" w:rsidRPr="00D908C6">
        <w:rPr>
          <w:rFonts w:cstheme="minorHAnsi"/>
          <w:sz w:val="24"/>
          <w:szCs w:val="24"/>
        </w:rPr>
        <w:t>Asinobi</w:t>
      </w:r>
      <w:proofErr w:type="spellEnd"/>
      <w:r w:rsidR="00E85834" w:rsidRPr="00D908C6">
        <w:rPr>
          <w:rFonts w:cstheme="minorHAnsi"/>
          <w:sz w:val="24"/>
          <w:szCs w:val="24"/>
        </w:rPr>
        <w:t xml:space="preserve"> AO, </w:t>
      </w:r>
      <w:proofErr w:type="spellStart"/>
      <w:r w:rsidR="00E85834" w:rsidRPr="00D908C6">
        <w:rPr>
          <w:rFonts w:cstheme="minorHAnsi"/>
          <w:sz w:val="24"/>
          <w:szCs w:val="24"/>
        </w:rPr>
        <w:t>Ademola</w:t>
      </w:r>
      <w:proofErr w:type="spellEnd"/>
      <w:r w:rsidR="00E85834" w:rsidRPr="00D908C6">
        <w:rPr>
          <w:rFonts w:cstheme="minorHAnsi"/>
          <w:sz w:val="24"/>
          <w:szCs w:val="24"/>
        </w:rPr>
        <w:t xml:space="preserve"> AD, </w:t>
      </w:r>
      <w:proofErr w:type="spellStart"/>
      <w:r w:rsidR="00E85834" w:rsidRPr="00D908C6">
        <w:rPr>
          <w:rFonts w:cstheme="minorHAnsi"/>
          <w:sz w:val="24"/>
          <w:szCs w:val="24"/>
        </w:rPr>
        <w:t>Okolo</w:t>
      </w:r>
      <w:proofErr w:type="spellEnd"/>
      <w:r w:rsidR="00E85834" w:rsidRPr="00D908C6">
        <w:rPr>
          <w:rFonts w:cstheme="minorHAnsi"/>
          <w:sz w:val="24"/>
          <w:szCs w:val="24"/>
        </w:rPr>
        <w:t xml:space="preserve"> CA, </w:t>
      </w:r>
      <w:proofErr w:type="spellStart"/>
      <w:r w:rsidR="00E85834" w:rsidRPr="00D908C6">
        <w:rPr>
          <w:rFonts w:cstheme="minorHAnsi"/>
          <w:sz w:val="24"/>
          <w:szCs w:val="24"/>
        </w:rPr>
        <w:t>Yariah</w:t>
      </w:r>
      <w:proofErr w:type="spellEnd"/>
      <w:r w:rsidR="00E85834" w:rsidRPr="00D908C6">
        <w:rPr>
          <w:rFonts w:cstheme="minorHAnsi"/>
          <w:sz w:val="24"/>
          <w:szCs w:val="24"/>
        </w:rPr>
        <w:t xml:space="preserve"> JO.</w:t>
      </w:r>
      <w:proofErr w:type="gramEnd"/>
      <w:r w:rsidR="00E85834" w:rsidRPr="00D908C6">
        <w:rPr>
          <w:rFonts w:cstheme="minorHAnsi"/>
          <w:sz w:val="24"/>
          <w:szCs w:val="24"/>
        </w:rPr>
        <w:t xml:space="preserve"> Trends in the histopathology of 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w:t>
      </w:r>
      <w:proofErr w:type="spellStart"/>
      <w:r w:rsidR="00E85834" w:rsidRPr="00D908C6">
        <w:rPr>
          <w:rFonts w:cstheme="minorHAnsi"/>
          <w:sz w:val="24"/>
          <w:szCs w:val="24"/>
        </w:rPr>
        <w:t>syndromein</w:t>
      </w:r>
      <w:proofErr w:type="spellEnd"/>
      <w:r w:rsidR="00E85834" w:rsidRPr="00D908C6">
        <w:rPr>
          <w:rFonts w:cstheme="minorHAnsi"/>
          <w:sz w:val="24"/>
          <w:szCs w:val="24"/>
        </w:rPr>
        <w:t xml:space="preserve"> Ibadan Nigeria: preponderance of idiopathic focal segmental </w:t>
      </w:r>
      <w:proofErr w:type="spellStart"/>
      <w:r w:rsidR="00E85834" w:rsidRPr="00D908C6">
        <w:rPr>
          <w:rFonts w:cstheme="minorHAnsi"/>
          <w:sz w:val="24"/>
          <w:szCs w:val="24"/>
        </w:rPr>
        <w:t>glomerulosclerosis</w:t>
      </w:r>
      <w:proofErr w:type="spellEnd"/>
      <w:r w:rsidR="00E85834" w:rsidRPr="00D908C6">
        <w:rPr>
          <w:rFonts w:cstheme="minorHAnsi"/>
          <w:sz w:val="24"/>
          <w:szCs w:val="24"/>
        </w:rPr>
        <w:t xml:space="preserve"> </w:t>
      </w:r>
      <w:proofErr w:type="spellStart"/>
      <w:r w:rsidR="00E85834" w:rsidRPr="00D908C6">
        <w:rPr>
          <w:rFonts w:cstheme="minorHAnsi"/>
          <w:sz w:val="24"/>
          <w:szCs w:val="24"/>
        </w:rPr>
        <w:t>BMCNephrology</w:t>
      </w:r>
      <w:proofErr w:type="spellEnd"/>
      <w:r w:rsidR="00E85834" w:rsidRPr="00D908C6">
        <w:rPr>
          <w:rFonts w:cstheme="minorHAnsi"/>
          <w:sz w:val="24"/>
          <w:szCs w:val="24"/>
        </w:rPr>
        <w:t xml:space="preserve"> 2015</w:t>
      </w:r>
      <w:proofErr w:type="gramStart"/>
      <w:r w:rsidR="00E85834" w:rsidRPr="00D908C6">
        <w:rPr>
          <w:rFonts w:cstheme="minorHAnsi"/>
          <w:sz w:val="24"/>
          <w:szCs w:val="24"/>
        </w:rPr>
        <w:t>;16:213</w:t>
      </w:r>
      <w:proofErr w:type="gramEnd"/>
      <w:r w:rsidR="00E85834" w:rsidRPr="00D908C6">
        <w:rPr>
          <w:rFonts w:cstheme="minorHAnsi"/>
          <w:sz w:val="24"/>
          <w:szCs w:val="24"/>
        </w:rPr>
        <w:t>-221</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15</w:t>
      </w:r>
      <w:r w:rsidR="00E85834" w:rsidRPr="00D908C6">
        <w:rPr>
          <w:rFonts w:cstheme="minorHAnsi"/>
          <w:sz w:val="24"/>
          <w:szCs w:val="24"/>
        </w:rPr>
        <w:t xml:space="preserve">    </w:t>
      </w:r>
      <w:proofErr w:type="spellStart"/>
      <w:r w:rsidR="00E85834" w:rsidRPr="00D908C6">
        <w:rPr>
          <w:rFonts w:cstheme="minorHAnsi"/>
          <w:sz w:val="24"/>
          <w:szCs w:val="24"/>
        </w:rPr>
        <w:t>Okpechi</w:t>
      </w:r>
      <w:proofErr w:type="spellEnd"/>
      <w:r w:rsidR="00E85834" w:rsidRPr="00D908C6">
        <w:rPr>
          <w:rFonts w:cstheme="minorHAnsi"/>
          <w:sz w:val="24"/>
          <w:szCs w:val="24"/>
        </w:rPr>
        <w:t xml:space="preserve"> IG, </w:t>
      </w:r>
      <w:proofErr w:type="spellStart"/>
      <w:r w:rsidR="00E85834" w:rsidRPr="00D908C6">
        <w:rPr>
          <w:rFonts w:cstheme="minorHAnsi"/>
          <w:sz w:val="24"/>
          <w:szCs w:val="24"/>
        </w:rPr>
        <w:t>Ameh</w:t>
      </w:r>
      <w:proofErr w:type="spellEnd"/>
      <w:r w:rsidR="00E85834" w:rsidRPr="00D908C6">
        <w:rPr>
          <w:rFonts w:cstheme="minorHAnsi"/>
          <w:sz w:val="24"/>
          <w:szCs w:val="24"/>
        </w:rPr>
        <w:t xml:space="preserve"> OI, Bello AK, </w:t>
      </w:r>
      <w:proofErr w:type="spellStart"/>
      <w:r w:rsidR="00E85834" w:rsidRPr="00D908C6">
        <w:rPr>
          <w:rFonts w:cstheme="minorHAnsi"/>
          <w:sz w:val="24"/>
          <w:szCs w:val="24"/>
        </w:rPr>
        <w:t>Ronco</w:t>
      </w:r>
      <w:proofErr w:type="spellEnd"/>
      <w:r w:rsidR="00E85834" w:rsidRPr="00D908C6">
        <w:rPr>
          <w:rFonts w:cstheme="minorHAnsi"/>
          <w:sz w:val="24"/>
          <w:szCs w:val="24"/>
        </w:rPr>
        <w:t xml:space="preserve"> P, </w:t>
      </w:r>
      <w:proofErr w:type="spellStart"/>
      <w:r w:rsidR="00E85834" w:rsidRPr="00D908C6">
        <w:rPr>
          <w:rFonts w:cstheme="minorHAnsi"/>
          <w:sz w:val="24"/>
          <w:szCs w:val="24"/>
        </w:rPr>
        <w:t>Swanepoel</w:t>
      </w:r>
      <w:proofErr w:type="spellEnd"/>
      <w:r w:rsidR="00E85834" w:rsidRPr="00D908C6">
        <w:rPr>
          <w:rFonts w:cstheme="minorHAnsi"/>
          <w:sz w:val="24"/>
          <w:szCs w:val="24"/>
        </w:rPr>
        <w:t xml:space="preserve"> CR, </w:t>
      </w:r>
      <w:proofErr w:type="spellStart"/>
      <w:r w:rsidR="00E85834" w:rsidRPr="00D908C6">
        <w:rPr>
          <w:rFonts w:cstheme="minorHAnsi"/>
          <w:sz w:val="24"/>
          <w:szCs w:val="24"/>
        </w:rPr>
        <w:t>Kengne</w:t>
      </w:r>
      <w:proofErr w:type="spellEnd"/>
      <w:r w:rsidR="00E85834" w:rsidRPr="00D908C6">
        <w:rPr>
          <w:rFonts w:cstheme="minorHAnsi"/>
          <w:sz w:val="24"/>
          <w:szCs w:val="24"/>
        </w:rPr>
        <w:t xml:space="preserve"> AP. Epidemiology of Histologically Proven Glomerulonephritis in Africa: A systematic Review and Meta-Analysis. </w:t>
      </w:r>
      <w:proofErr w:type="spellStart"/>
      <w:proofErr w:type="gramStart"/>
      <w:r w:rsidR="00E85834" w:rsidRPr="00D908C6">
        <w:rPr>
          <w:rFonts w:cstheme="minorHAnsi"/>
          <w:sz w:val="24"/>
          <w:szCs w:val="24"/>
        </w:rPr>
        <w:t>PLoS</w:t>
      </w:r>
      <w:proofErr w:type="spellEnd"/>
      <w:r w:rsidR="00E85834" w:rsidRPr="00D908C6">
        <w:rPr>
          <w:rFonts w:cstheme="minorHAnsi"/>
          <w:sz w:val="24"/>
          <w:szCs w:val="24"/>
        </w:rPr>
        <w:t xml:space="preserve"> ONE 11 (3) e0152203.doi:10.1371/journal.pone.0152203.</w:t>
      </w:r>
      <w:proofErr w:type="gramEnd"/>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t>16</w:t>
      </w:r>
      <w:r w:rsidR="00E85834" w:rsidRPr="00D908C6">
        <w:rPr>
          <w:rFonts w:cstheme="minorHAnsi"/>
          <w:sz w:val="24"/>
          <w:szCs w:val="24"/>
        </w:rPr>
        <w:t xml:space="preserve">         </w:t>
      </w:r>
      <w:proofErr w:type="spellStart"/>
      <w:r w:rsidR="00E85834" w:rsidRPr="00D908C6">
        <w:rPr>
          <w:rFonts w:cstheme="minorHAnsi"/>
          <w:sz w:val="24"/>
          <w:szCs w:val="24"/>
        </w:rPr>
        <w:t>Onwubuya</w:t>
      </w:r>
      <w:proofErr w:type="spellEnd"/>
      <w:r w:rsidR="00E85834" w:rsidRPr="00D908C6">
        <w:rPr>
          <w:rFonts w:cstheme="minorHAnsi"/>
          <w:sz w:val="24"/>
          <w:szCs w:val="24"/>
        </w:rPr>
        <w:t xml:space="preserve"> I M, </w:t>
      </w:r>
      <w:proofErr w:type="spellStart"/>
      <w:r w:rsidR="00E85834" w:rsidRPr="00D908C6">
        <w:rPr>
          <w:rFonts w:cstheme="minorHAnsi"/>
          <w:sz w:val="24"/>
          <w:szCs w:val="24"/>
        </w:rPr>
        <w:t>Adelusola</w:t>
      </w:r>
      <w:proofErr w:type="spellEnd"/>
      <w:r w:rsidR="00E85834" w:rsidRPr="00D908C6">
        <w:rPr>
          <w:rFonts w:cstheme="minorHAnsi"/>
          <w:sz w:val="24"/>
          <w:szCs w:val="24"/>
        </w:rPr>
        <w:t xml:space="preserve"> K A, </w:t>
      </w:r>
      <w:proofErr w:type="spellStart"/>
      <w:r w:rsidR="00E85834" w:rsidRPr="00D908C6">
        <w:rPr>
          <w:rFonts w:cstheme="minorHAnsi"/>
          <w:sz w:val="24"/>
          <w:szCs w:val="24"/>
        </w:rPr>
        <w:t>Sabageh</w:t>
      </w:r>
      <w:proofErr w:type="spellEnd"/>
      <w:r w:rsidR="00E85834" w:rsidRPr="00D908C6">
        <w:rPr>
          <w:rFonts w:cstheme="minorHAnsi"/>
          <w:sz w:val="24"/>
          <w:szCs w:val="24"/>
        </w:rPr>
        <w:t xml:space="preserve"> D, </w:t>
      </w:r>
      <w:proofErr w:type="spellStart"/>
      <w:r w:rsidR="00E85834" w:rsidRPr="00D908C6">
        <w:rPr>
          <w:rFonts w:cstheme="minorHAnsi"/>
          <w:sz w:val="24"/>
          <w:szCs w:val="24"/>
        </w:rPr>
        <w:t>Ezike</w:t>
      </w:r>
      <w:proofErr w:type="spellEnd"/>
      <w:r w:rsidR="00E85834" w:rsidRPr="00D908C6">
        <w:rPr>
          <w:rFonts w:cstheme="minorHAnsi"/>
          <w:sz w:val="24"/>
          <w:szCs w:val="24"/>
        </w:rPr>
        <w:t xml:space="preserve"> K N, </w:t>
      </w:r>
      <w:proofErr w:type="spellStart"/>
      <w:r w:rsidR="00E85834" w:rsidRPr="00D908C6">
        <w:rPr>
          <w:rFonts w:cstheme="minorHAnsi"/>
          <w:sz w:val="24"/>
          <w:szCs w:val="24"/>
        </w:rPr>
        <w:t>Olaofe</w:t>
      </w:r>
      <w:proofErr w:type="spellEnd"/>
      <w:r w:rsidR="00E85834" w:rsidRPr="00D908C6">
        <w:rPr>
          <w:rFonts w:cstheme="minorHAnsi"/>
          <w:sz w:val="24"/>
          <w:szCs w:val="24"/>
        </w:rPr>
        <w:t xml:space="preserve"> O </w:t>
      </w:r>
      <w:proofErr w:type="spellStart"/>
      <w:r w:rsidR="00E85834" w:rsidRPr="00D908C6">
        <w:rPr>
          <w:rFonts w:cstheme="minorHAnsi"/>
          <w:sz w:val="24"/>
          <w:szCs w:val="24"/>
        </w:rPr>
        <w:t>O</w:t>
      </w:r>
      <w:proofErr w:type="spellEnd"/>
      <w:r w:rsidR="00E85834" w:rsidRPr="00D908C6">
        <w:rPr>
          <w:rFonts w:cstheme="minorHAnsi"/>
          <w:sz w:val="24"/>
          <w:szCs w:val="24"/>
        </w:rPr>
        <w:t xml:space="preserve">. Biopsy-proven renal disease in Ile-Ife, Nigeria: A </w:t>
      </w:r>
      <w:proofErr w:type="spellStart"/>
      <w:r w:rsidR="00E85834" w:rsidRPr="00D908C6">
        <w:rPr>
          <w:rFonts w:cstheme="minorHAnsi"/>
          <w:sz w:val="24"/>
          <w:szCs w:val="24"/>
        </w:rPr>
        <w:t>histopathologic</w:t>
      </w:r>
      <w:proofErr w:type="spellEnd"/>
      <w:r w:rsidR="00E85834" w:rsidRPr="00D908C6">
        <w:rPr>
          <w:rFonts w:cstheme="minorHAnsi"/>
          <w:sz w:val="24"/>
          <w:szCs w:val="24"/>
        </w:rPr>
        <w:t xml:space="preserve"> review. Indian J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2016</w:t>
      </w:r>
      <w:proofErr w:type="gramStart"/>
      <w:r w:rsidR="00E85834" w:rsidRPr="00D908C6">
        <w:rPr>
          <w:rFonts w:cstheme="minorHAnsi"/>
          <w:sz w:val="24"/>
          <w:szCs w:val="24"/>
        </w:rPr>
        <w:t>;26:16</w:t>
      </w:r>
      <w:proofErr w:type="gramEnd"/>
      <w:r w:rsidR="00E85834" w:rsidRPr="00D908C6">
        <w:rPr>
          <w:rFonts w:cstheme="minorHAnsi"/>
          <w:sz w:val="24"/>
          <w:szCs w:val="24"/>
        </w:rPr>
        <w:t>-22</w:t>
      </w:r>
    </w:p>
    <w:p w:rsidR="00E85834" w:rsidRPr="00D908C6" w:rsidRDefault="0093205B" w:rsidP="00756524">
      <w:pPr>
        <w:spacing w:line="240" w:lineRule="auto"/>
        <w:ind w:left="720" w:hanging="720"/>
        <w:jc w:val="both"/>
        <w:rPr>
          <w:rFonts w:cstheme="minorHAnsi"/>
          <w:sz w:val="24"/>
          <w:szCs w:val="24"/>
        </w:rPr>
      </w:pPr>
      <w:r>
        <w:rPr>
          <w:rFonts w:cstheme="minorHAnsi"/>
          <w:sz w:val="24"/>
          <w:szCs w:val="24"/>
        </w:rPr>
        <w:lastRenderedPageBreak/>
        <w:t>17</w:t>
      </w:r>
      <w:r w:rsidR="00E85834" w:rsidRPr="00D908C6">
        <w:rPr>
          <w:rFonts w:cstheme="minorHAnsi"/>
          <w:sz w:val="24"/>
          <w:szCs w:val="24"/>
        </w:rPr>
        <w:t xml:space="preserve">   </w:t>
      </w:r>
      <w:r w:rsidR="00D908C6">
        <w:rPr>
          <w:rFonts w:cstheme="minorHAnsi"/>
          <w:sz w:val="24"/>
          <w:szCs w:val="24"/>
        </w:rPr>
        <w:tab/>
      </w:r>
      <w:proofErr w:type="spellStart"/>
      <w:r w:rsidR="00E85834" w:rsidRPr="00D908C6">
        <w:rPr>
          <w:rFonts w:cstheme="minorHAnsi"/>
          <w:sz w:val="24"/>
          <w:szCs w:val="24"/>
        </w:rPr>
        <w:t>Obiagwu</w:t>
      </w:r>
      <w:proofErr w:type="spellEnd"/>
      <w:r w:rsidR="00E85834" w:rsidRPr="00D908C6">
        <w:rPr>
          <w:rFonts w:cstheme="minorHAnsi"/>
          <w:sz w:val="24"/>
          <w:szCs w:val="24"/>
        </w:rPr>
        <w:t xml:space="preserve"> PN, </w:t>
      </w:r>
      <w:proofErr w:type="spellStart"/>
      <w:r w:rsidR="00E85834" w:rsidRPr="00D908C6">
        <w:rPr>
          <w:rFonts w:cstheme="minorHAnsi"/>
          <w:sz w:val="24"/>
          <w:szCs w:val="24"/>
        </w:rPr>
        <w:t>Aliyu</w:t>
      </w:r>
      <w:proofErr w:type="spellEnd"/>
      <w:r w:rsidR="00E85834" w:rsidRPr="00D908C6">
        <w:rPr>
          <w:rFonts w:cstheme="minorHAnsi"/>
          <w:sz w:val="24"/>
          <w:szCs w:val="24"/>
        </w:rPr>
        <w:t xml:space="preserve"> A, </w:t>
      </w:r>
      <w:proofErr w:type="spellStart"/>
      <w:r w:rsidR="00E85834" w:rsidRPr="00D908C6">
        <w:rPr>
          <w:rFonts w:cstheme="minorHAnsi"/>
          <w:sz w:val="24"/>
          <w:szCs w:val="24"/>
        </w:rPr>
        <w:t>Atanda</w:t>
      </w:r>
      <w:proofErr w:type="spellEnd"/>
      <w:r w:rsidR="00E85834" w:rsidRPr="00D908C6">
        <w:rPr>
          <w:rFonts w:cstheme="minorHAnsi"/>
          <w:sz w:val="24"/>
          <w:szCs w:val="24"/>
        </w:rPr>
        <w:t xml:space="preserve"> AT.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among children in Kano: A </w:t>
      </w:r>
      <w:proofErr w:type="spellStart"/>
      <w:r w:rsidR="00E85834" w:rsidRPr="00D908C6">
        <w:rPr>
          <w:rFonts w:cstheme="minorHAnsi"/>
          <w:sz w:val="24"/>
          <w:szCs w:val="24"/>
        </w:rPr>
        <w:t>clinicopathological</w:t>
      </w:r>
      <w:proofErr w:type="spellEnd"/>
      <w:r w:rsidR="00E85834" w:rsidRPr="00D908C6">
        <w:rPr>
          <w:rFonts w:cstheme="minorHAnsi"/>
          <w:sz w:val="24"/>
          <w:szCs w:val="24"/>
        </w:rPr>
        <w:t xml:space="preserve"> study.  </w:t>
      </w:r>
      <w:proofErr w:type="gramStart"/>
      <w:r w:rsidR="00E85834" w:rsidRPr="00D908C6">
        <w:rPr>
          <w:rFonts w:cstheme="minorHAnsi"/>
          <w:sz w:val="24"/>
          <w:szCs w:val="24"/>
        </w:rPr>
        <w:t xml:space="preserve">Niger J </w:t>
      </w:r>
      <w:proofErr w:type="spellStart"/>
      <w:r w:rsidR="00E85834" w:rsidRPr="00D908C6">
        <w:rPr>
          <w:rFonts w:cstheme="minorHAnsi"/>
          <w:sz w:val="24"/>
          <w:szCs w:val="24"/>
        </w:rPr>
        <w:t>Clin</w:t>
      </w:r>
      <w:proofErr w:type="spellEnd"/>
      <w:r w:rsidR="00E85834" w:rsidRPr="00D908C6">
        <w:rPr>
          <w:rFonts w:cstheme="minorHAnsi"/>
          <w:sz w:val="24"/>
          <w:szCs w:val="24"/>
        </w:rPr>
        <w:t xml:space="preserve"> </w:t>
      </w:r>
      <w:proofErr w:type="spellStart"/>
      <w:r w:rsidR="00E85834" w:rsidRPr="00D908C6">
        <w:rPr>
          <w:rFonts w:cstheme="minorHAnsi"/>
          <w:sz w:val="24"/>
          <w:szCs w:val="24"/>
        </w:rPr>
        <w:t>Pract</w:t>
      </w:r>
      <w:proofErr w:type="spellEnd"/>
      <w:r w:rsidR="00E85834" w:rsidRPr="00D908C6">
        <w:rPr>
          <w:rFonts w:cstheme="minorHAnsi"/>
          <w:sz w:val="24"/>
          <w:szCs w:val="24"/>
        </w:rPr>
        <w:t>.</w:t>
      </w:r>
      <w:proofErr w:type="gramEnd"/>
      <w:r w:rsidR="00E85834" w:rsidRPr="00D908C6">
        <w:rPr>
          <w:rFonts w:cstheme="minorHAnsi"/>
          <w:sz w:val="24"/>
          <w:szCs w:val="24"/>
        </w:rPr>
        <w:t xml:space="preserve"> 2014; 17:370-4</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18</w:t>
      </w:r>
      <w:r w:rsidR="00D908C6">
        <w:rPr>
          <w:rFonts w:cstheme="minorHAnsi"/>
          <w:sz w:val="24"/>
          <w:szCs w:val="24"/>
        </w:rPr>
        <w:t xml:space="preserve">       </w:t>
      </w:r>
      <w:r w:rsidR="00E85834" w:rsidRPr="00D908C6">
        <w:rPr>
          <w:rFonts w:cstheme="minorHAnsi"/>
          <w:sz w:val="24"/>
          <w:szCs w:val="24"/>
        </w:rPr>
        <w:t xml:space="preserve">Doe JY, Funk M, </w:t>
      </w:r>
      <w:proofErr w:type="spellStart"/>
      <w:r w:rsidR="00E85834" w:rsidRPr="00D908C6">
        <w:rPr>
          <w:rFonts w:cstheme="minorHAnsi"/>
          <w:sz w:val="24"/>
          <w:szCs w:val="24"/>
        </w:rPr>
        <w:t>Mengel</w:t>
      </w:r>
      <w:proofErr w:type="spellEnd"/>
      <w:r w:rsidR="00E85834" w:rsidRPr="00D908C6">
        <w:rPr>
          <w:rFonts w:cstheme="minorHAnsi"/>
          <w:sz w:val="24"/>
          <w:szCs w:val="24"/>
        </w:rPr>
        <w:t xml:space="preserve"> M, </w:t>
      </w:r>
      <w:proofErr w:type="spellStart"/>
      <w:r w:rsidR="00E85834" w:rsidRPr="00D908C6">
        <w:rPr>
          <w:rFonts w:cstheme="minorHAnsi"/>
          <w:sz w:val="24"/>
          <w:szCs w:val="24"/>
        </w:rPr>
        <w:t>Doehring</w:t>
      </w:r>
      <w:proofErr w:type="spellEnd"/>
      <w:r w:rsidR="00E85834" w:rsidRPr="00D908C6">
        <w:rPr>
          <w:rFonts w:cstheme="minorHAnsi"/>
          <w:sz w:val="24"/>
          <w:szCs w:val="24"/>
        </w:rPr>
        <w:t xml:space="preserve"> E, </w:t>
      </w:r>
      <w:proofErr w:type="spellStart"/>
      <w:r w:rsidR="00E85834" w:rsidRPr="00D908C6">
        <w:rPr>
          <w:rFonts w:cstheme="minorHAnsi"/>
          <w:sz w:val="24"/>
          <w:szCs w:val="24"/>
        </w:rPr>
        <w:t>Ehrich</w:t>
      </w:r>
      <w:proofErr w:type="spellEnd"/>
      <w:r w:rsidR="00E85834" w:rsidRPr="00D908C6">
        <w:rPr>
          <w:rFonts w:cstheme="minorHAnsi"/>
          <w:sz w:val="24"/>
          <w:szCs w:val="24"/>
        </w:rPr>
        <w:t xml:space="preserve"> JH.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African children: Lack of evidence for ‘tropical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w:t>
      </w:r>
      <w:proofErr w:type="gramStart"/>
      <w:r w:rsidR="00E85834" w:rsidRPr="00D908C6">
        <w:rPr>
          <w:rFonts w:cstheme="minorHAnsi"/>
          <w:sz w:val="24"/>
          <w:szCs w:val="24"/>
        </w:rPr>
        <w:t>syndrome’?.</w:t>
      </w:r>
      <w:proofErr w:type="gramEnd"/>
      <w:r w:rsidR="00E85834" w:rsidRPr="00D908C6">
        <w:rPr>
          <w:rFonts w:cstheme="minorHAnsi"/>
          <w:sz w:val="24"/>
          <w:szCs w:val="24"/>
        </w:rPr>
        <w:t xml:space="preserve">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Dial Transplant 2006</w:t>
      </w:r>
      <w:proofErr w:type="gramStart"/>
      <w:r w:rsidR="00E85834" w:rsidRPr="00D908C6">
        <w:rPr>
          <w:rFonts w:cstheme="minorHAnsi"/>
          <w:sz w:val="24"/>
          <w:szCs w:val="24"/>
        </w:rPr>
        <w:t>;21:672</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 xml:space="preserve">6.  </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19</w:t>
      </w:r>
      <w:r w:rsidR="00E85834" w:rsidRPr="00D908C6">
        <w:rPr>
          <w:rFonts w:cstheme="minorHAnsi"/>
          <w:sz w:val="24"/>
          <w:szCs w:val="24"/>
        </w:rPr>
        <w:t xml:space="preserve">      </w:t>
      </w:r>
      <w:r w:rsidR="00E85834" w:rsidRPr="00D908C6">
        <w:rPr>
          <w:rFonts w:cstheme="minorHAnsi"/>
          <w:sz w:val="24"/>
          <w:szCs w:val="24"/>
        </w:rPr>
        <w:tab/>
        <w:t xml:space="preserve">Abbas K, Mubarak M, </w:t>
      </w:r>
      <w:proofErr w:type="spellStart"/>
      <w:r w:rsidR="00E85834" w:rsidRPr="00D908C6">
        <w:rPr>
          <w:rFonts w:cstheme="minorHAnsi"/>
          <w:sz w:val="24"/>
          <w:szCs w:val="24"/>
        </w:rPr>
        <w:t>Kazi</w:t>
      </w:r>
      <w:proofErr w:type="spellEnd"/>
      <w:r w:rsidR="00E85834" w:rsidRPr="00D908C6">
        <w:rPr>
          <w:rFonts w:cstheme="minorHAnsi"/>
          <w:sz w:val="24"/>
          <w:szCs w:val="24"/>
        </w:rPr>
        <w:t xml:space="preserve"> JI, </w:t>
      </w:r>
      <w:proofErr w:type="spellStart"/>
      <w:r w:rsidR="00E85834" w:rsidRPr="00D908C6">
        <w:rPr>
          <w:rFonts w:cstheme="minorHAnsi"/>
          <w:sz w:val="24"/>
          <w:szCs w:val="24"/>
        </w:rPr>
        <w:t>Muzaffar</w:t>
      </w:r>
      <w:proofErr w:type="spellEnd"/>
      <w:r w:rsidR="00E85834" w:rsidRPr="00D908C6">
        <w:rPr>
          <w:rFonts w:cstheme="minorHAnsi"/>
          <w:sz w:val="24"/>
          <w:szCs w:val="24"/>
        </w:rPr>
        <w:t xml:space="preserve"> R. Pattern of morphology in renal biopsies of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patients. </w:t>
      </w:r>
      <w:proofErr w:type="gramStart"/>
      <w:r w:rsidR="00E85834" w:rsidRPr="00D908C6">
        <w:rPr>
          <w:rFonts w:cstheme="minorHAnsi"/>
          <w:sz w:val="24"/>
          <w:szCs w:val="24"/>
        </w:rPr>
        <w:t>Correlation with immunoglobulin and complement deposition and serology.</w:t>
      </w:r>
      <w:proofErr w:type="gramEnd"/>
      <w:r w:rsidR="00E85834" w:rsidRPr="00D908C6">
        <w:rPr>
          <w:rFonts w:cstheme="minorHAnsi"/>
          <w:sz w:val="24"/>
          <w:szCs w:val="24"/>
        </w:rPr>
        <w:t xml:space="preserve"> J Pak Med </w:t>
      </w:r>
      <w:proofErr w:type="spellStart"/>
      <w:r w:rsidR="00E85834" w:rsidRPr="00D908C6">
        <w:rPr>
          <w:rFonts w:cstheme="minorHAnsi"/>
          <w:sz w:val="24"/>
          <w:szCs w:val="24"/>
        </w:rPr>
        <w:t>Assoc</w:t>
      </w:r>
      <w:proofErr w:type="spellEnd"/>
      <w:r w:rsidR="00E85834" w:rsidRPr="00D908C6">
        <w:rPr>
          <w:rFonts w:cstheme="minorHAnsi"/>
          <w:sz w:val="24"/>
          <w:szCs w:val="24"/>
        </w:rPr>
        <w:t xml:space="preserve"> 2009</w:t>
      </w:r>
      <w:proofErr w:type="gramStart"/>
      <w:r w:rsidR="00E85834" w:rsidRPr="00D908C6">
        <w:rPr>
          <w:rFonts w:cstheme="minorHAnsi"/>
          <w:sz w:val="24"/>
          <w:szCs w:val="24"/>
        </w:rPr>
        <w:t>;59:540</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3.</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20</w:t>
      </w:r>
      <w:r w:rsidR="00D908C6">
        <w:rPr>
          <w:rFonts w:cstheme="minorHAnsi"/>
          <w:sz w:val="24"/>
          <w:szCs w:val="24"/>
        </w:rPr>
        <w:t xml:space="preserve">     </w:t>
      </w:r>
      <w:r w:rsidR="00E85834" w:rsidRPr="00D908C6">
        <w:rPr>
          <w:rFonts w:cstheme="minorHAnsi"/>
          <w:sz w:val="24"/>
          <w:szCs w:val="24"/>
        </w:rPr>
        <w:t xml:space="preserve">Chan JCM. Focal segmental </w:t>
      </w:r>
      <w:proofErr w:type="spellStart"/>
      <w:r w:rsidR="00E85834" w:rsidRPr="00D908C6">
        <w:rPr>
          <w:rFonts w:cstheme="minorHAnsi"/>
          <w:sz w:val="24"/>
          <w:szCs w:val="24"/>
        </w:rPr>
        <w:t>glomerulosclerosis</w:t>
      </w:r>
      <w:proofErr w:type="spellEnd"/>
      <w:r w:rsidR="00E85834" w:rsidRPr="00D908C6">
        <w:rPr>
          <w:rFonts w:cstheme="minorHAnsi"/>
          <w:sz w:val="24"/>
          <w:szCs w:val="24"/>
        </w:rPr>
        <w:t xml:space="preserve">: A single </w:t>
      </w:r>
      <w:proofErr w:type="spellStart"/>
      <w:r w:rsidR="00E85834" w:rsidRPr="00D908C6">
        <w:rPr>
          <w:rFonts w:cstheme="minorHAnsi"/>
          <w:sz w:val="24"/>
          <w:szCs w:val="24"/>
        </w:rPr>
        <w:t>center</w:t>
      </w:r>
      <w:proofErr w:type="spellEnd"/>
      <w:r w:rsidR="00E85834" w:rsidRPr="00D908C6">
        <w:rPr>
          <w:rFonts w:cstheme="minorHAnsi"/>
          <w:sz w:val="24"/>
          <w:szCs w:val="24"/>
        </w:rPr>
        <w:t xml:space="preserve"> study of over two decades. World J </w:t>
      </w:r>
      <w:proofErr w:type="spellStart"/>
      <w:r w:rsidR="00E85834" w:rsidRPr="00D908C6">
        <w:rPr>
          <w:rFonts w:cstheme="minorHAnsi"/>
          <w:sz w:val="24"/>
          <w:szCs w:val="24"/>
        </w:rPr>
        <w:t>Pediatr</w:t>
      </w:r>
      <w:proofErr w:type="spellEnd"/>
      <w:r w:rsidR="00E85834" w:rsidRPr="00D908C6">
        <w:rPr>
          <w:rFonts w:cstheme="minorHAnsi"/>
          <w:sz w:val="24"/>
          <w:szCs w:val="24"/>
        </w:rPr>
        <w:t xml:space="preserve"> 2007</w:t>
      </w:r>
      <w:proofErr w:type="gramStart"/>
      <w:r w:rsidR="00E85834" w:rsidRPr="00D908C6">
        <w:rPr>
          <w:rFonts w:cstheme="minorHAnsi"/>
          <w:sz w:val="24"/>
          <w:szCs w:val="24"/>
        </w:rPr>
        <w:t>;3:260</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4.</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21</w:t>
      </w:r>
      <w:r w:rsidR="00E85834" w:rsidRPr="00D908C6">
        <w:rPr>
          <w:rFonts w:cstheme="minorHAnsi"/>
          <w:sz w:val="24"/>
          <w:szCs w:val="24"/>
        </w:rPr>
        <w:t xml:space="preserve">   Abdurrahman MB, </w:t>
      </w:r>
      <w:proofErr w:type="spellStart"/>
      <w:r w:rsidR="00E85834" w:rsidRPr="00D908C6">
        <w:rPr>
          <w:rFonts w:cstheme="minorHAnsi"/>
          <w:sz w:val="24"/>
          <w:szCs w:val="24"/>
        </w:rPr>
        <w:t>Aikhionbare</w:t>
      </w:r>
      <w:proofErr w:type="spellEnd"/>
      <w:r w:rsidR="00E85834" w:rsidRPr="00D908C6">
        <w:rPr>
          <w:rFonts w:cstheme="minorHAnsi"/>
          <w:sz w:val="24"/>
          <w:szCs w:val="24"/>
        </w:rPr>
        <w:t xml:space="preserve"> HA, </w:t>
      </w:r>
      <w:proofErr w:type="spellStart"/>
      <w:r w:rsidR="00E85834" w:rsidRPr="00D908C6">
        <w:rPr>
          <w:rFonts w:cstheme="minorHAnsi"/>
          <w:sz w:val="24"/>
          <w:szCs w:val="24"/>
        </w:rPr>
        <w:t>Babaoye</w:t>
      </w:r>
      <w:proofErr w:type="spellEnd"/>
      <w:r w:rsidR="00E85834" w:rsidRPr="00D908C6">
        <w:rPr>
          <w:rFonts w:cstheme="minorHAnsi"/>
          <w:sz w:val="24"/>
          <w:szCs w:val="24"/>
        </w:rPr>
        <w:t xml:space="preserve"> FA, </w:t>
      </w:r>
      <w:proofErr w:type="spellStart"/>
      <w:r w:rsidR="00E85834" w:rsidRPr="00D908C6">
        <w:rPr>
          <w:rFonts w:cstheme="minorHAnsi"/>
          <w:sz w:val="24"/>
          <w:szCs w:val="24"/>
        </w:rPr>
        <w:t>Sathiakumar</w:t>
      </w:r>
      <w:proofErr w:type="spellEnd"/>
      <w:r w:rsidR="00E85834" w:rsidRPr="00D908C6">
        <w:rPr>
          <w:rFonts w:cstheme="minorHAnsi"/>
          <w:sz w:val="24"/>
          <w:szCs w:val="24"/>
        </w:rPr>
        <w:t xml:space="preserve"> N, </w:t>
      </w:r>
      <w:proofErr w:type="spellStart"/>
      <w:r w:rsidR="00E85834" w:rsidRPr="00D908C6">
        <w:rPr>
          <w:rFonts w:cstheme="minorHAnsi"/>
          <w:sz w:val="24"/>
          <w:szCs w:val="24"/>
        </w:rPr>
        <w:t>Narayana</w:t>
      </w:r>
      <w:proofErr w:type="spellEnd"/>
      <w:r w:rsidR="00E85834" w:rsidRPr="00D908C6">
        <w:rPr>
          <w:rFonts w:cstheme="minorHAnsi"/>
          <w:sz w:val="24"/>
          <w:szCs w:val="24"/>
        </w:rPr>
        <w:t xml:space="preserve"> PT. </w:t>
      </w:r>
      <w:proofErr w:type="spellStart"/>
      <w:r w:rsidR="00E85834" w:rsidRPr="00D908C6">
        <w:rPr>
          <w:rFonts w:cstheme="minorHAnsi"/>
          <w:sz w:val="24"/>
          <w:szCs w:val="24"/>
        </w:rPr>
        <w:t>Clinicopathological</w:t>
      </w:r>
      <w:proofErr w:type="spellEnd"/>
      <w:r w:rsidR="00E85834" w:rsidRPr="00D908C6">
        <w:rPr>
          <w:rFonts w:cstheme="minorHAnsi"/>
          <w:sz w:val="24"/>
          <w:szCs w:val="24"/>
        </w:rPr>
        <w:t xml:space="preserve"> features of 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northern Nigeria. Q J Med 1990</w:t>
      </w:r>
      <w:proofErr w:type="gramStart"/>
      <w:r w:rsidR="00E85834" w:rsidRPr="00D908C6">
        <w:rPr>
          <w:rFonts w:cstheme="minorHAnsi"/>
          <w:sz w:val="24"/>
          <w:szCs w:val="24"/>
        </w:rPr>
        <w:t>;75:563</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76.</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22</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Okoro</w:t>
      </w:r>
      <w:proofErr w:type="spellEnd"/>
      <w:r w:rsidR="00E85834" w:rsidRPr="00D908C6">
        <w:rPr>
          <w:rFonts w:cstheme="minorHAnsi"/>
          <w:sz w:val="24"/>
          <w:szCs w:val="24"/>
        </w:rPr>
        <w:t xml:space="preserve"> BA, </w:t>
      </w:r>
      <w:proofErr w:type="spellStart"/>
      <w:r w:rsidR="00E85834" w:rsidRPr="00D908C6">
        <w:rPr>
          <w:rFonts w:cstheme="minorHAnsi"/>
          <w:sz w:val="24"/>
          <w:szCs w:val="24"/>
        </w:rPr>
        <w:t>Okafor</w:t>
      </w:r>
      <w:proofErr w:type="spellEnd"/>
      <w:r w:rsidR="00E85834" w:rsidRPr="00D908C6">
        <w:rPr>
          <w:rFonts w:cstheme="minorHAnsi"/>
          <w:sz w:val="24"/>
          <w:szCs w:val="24"/>
        </w:rPr>
        <w:t xml:space="preserve"> HU. </w:t>
      </w:r>
      <w:proofErr w:type="spellStart"/>
      <w:r w:rsidR="00E85834" w:rsidRPr="00D908C6">
        <w:rPr>
          <w:rFonts w:cstheme="minorHAnsi"/>
          <w:sz w:val="24"/>
          <w:szCs w:val="24"/>
        </w:rPr>
        <w:t>Nnoli</w:t>
      </w:r>
      <w:proofErr w:type="spellEnd"/>
      <w:r w:rsidR="00E85834" w:rsidRPr="00D908C6">
        <w:rPr>
          <w:rFonts w:cstheme="minorHAnsi"/>
          <w:sz w:val="24"/>
          <w:szCs w:val="24"/>
        </w:rPr>
        <w:t xml:space="preserve"> LU. </w:t>
      </w:r>
      <w:proofErr w:type="gramStart"/>
      <w:r w:rsidR="00E85834" w:rsidRPr="00D908C6">
        <w:rPr>
          <w:rFonts w:cstheme="minorHAnsi"/>
          <w:sz w:val="24"/>
          <w:szCs w:val="24"/>
        </w:rPr>
        <w:t xml:space="preserve">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Enugu, Nigeria.</w:t>
      </w:r>
      <w:proofErr w:type="gramEnd"/>
      <w:r w:rsidR="00E85834" w:rsidRPr="00D908C6">
        <w:rPr>
          <w:rFonts w:cstheme="minorHAnsi"/>
          <w:sz w:val="24"/>
          <w:szCs w:val="24"/>
        </w:rPr>
        <w:t xml:space="preserve"> West </w:t>
      </w:r>
      <w:proofErr w:type="spellStart"/>
      <w:r w:rsidR="00E85834" w:rsidRPr="00D908C6">
        <w:rPr>
          <w:rFonts w:cstheme="minorHAnsi"/>
          <w:sz w:val="24"/>
          <w:szCs w:val="24"/>
        </w:rPr>
        <w:t>Afr</w:t>
      </w:r>
      <w:proofErr w:type="spellEnd"/>
      <w:r w:rsidR="00E85834" w:rsidRPr="00D908C6">
        <w:rPr>
          <w:rFonts w:cstheme="minorHAnsi"/>
          <w:sz w:val="24"/>
          <w:szCs w:val="24"/>
        </w:rPr>
        <w:t xml:space="preserve"> J Med 2000</w:t>
      </w:r>
      <w:proofErr w:type="gramStart"/>
      <w:r w:rsidR="00E85834" w:rsidRPr="00D908C6">
        <w:rPr>
          <w:rFonts w:cstheme="minorHAnsi"/>
          <w:sz w:val="24"/>
          <w:szCs w:val="24"/>
        </w:rPr>
        <w:t>;19:137</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41.</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23</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Adhikari</w:t>
      </w:r>
      <w:proofErr w:type="spellEnd"/>
      <w:r w:rsidR="00E85834" w:rsidRPr="00D908C6">
        <w:rPr>
          <w:rFonts w:cstheme="minorHAnsi"/>
          <w:sz w:val="24"/>
          <w:szCs w:val="24"/>
        </w:rPr>
        <w:t xml:space="preserve"> M, </w:t>
      </w:r>
      <w:proofErr w:type="spellStart"/>
      <w:r w:rsidR="00E85834" w:rsidRPr="00D908C6">
        <w:rPr>
          <w:rFonts w:cstheme="minorHAnsi"/>
          <w:sz w:val="24"/>
          <w:szCs w:val="24"/>
        </w:rPr>
        <w:t>Coovadia</w:t>
      </w:r>
      <w:proofErr w:type="spellEnd"/>
      <w:r w:rsidR="00E85834" w:rsidRPr="00D908C6">
        <w:rPr>
          <w:rFonts w:cstheme="minorHAnsi"/>
          <w:sz w:val="24"/>
          <w:szCs w:val="24"/>
        </w:rPr>
        <w:t xml:space="preserve"> HM, </w:t>
      </w:r>
      <w:proofErr w:type="spellStart"/>
      <w:r w:rsidR="00E85834" w:rsidRPr="00D908C6">
        <w:rPr>
          <w:rFonts w:cstheme="minorHAnsi"/>
          <w:sz w:val="24"/>
          <w:szCs w:val="24"/>
        </w:rPr>
        <w:t>Christal</w:t>
      </w:r>
      <w:proofErr w:type="spellEnd"/>
      <w:r w:rsidR="00E85834" w:rsidRPr="00D908C6">
        <w:rPr>
          <w:rFonts w:cstheme="minorHAnsi"/>
          <w:sz w:val="24"/>
          <w:szCs w:val="24"/>
        </w:rPr>
        <w:t xml:space="preserve"> V, et al. Absence of true minimal change </w:t>
      </w:r>
      <w:proofErr w:type="spellStart"/>
      <w:r w:rsidR="00E85834" w:rsidRPr="00D908C6">
        <w:rPr>
          <w:rFonts w:cstheme="minorHAnsi"/>
          <w:sz w:val="24"/>
          <w:szCs w:val="24"/>
        </w:rPr>
        <w:t>nephroyic</w:t>
      </w:r>
      <w:proofErr w:type="spellEnd"/>
      <w:r w:rsidR="00E85834" w:rsidRPr="00D908C6">
        <w:rPr>
          <w:rFonts w:cstheme="minorHAnsi"/>
          <w:sz w:val="24"/>
          <w:szCs w:val="24"/>
        </w:rPr>
        <w:t xml:space="preserve"> syndrome in African children in South Africa. </w:t>
      </w:r>
      <w:proofErr w:type="gramStart"/>
      <w:r w:rsidR="00E85834" w:rsidRPr="00D908C6">
        <w:rPr>
          <w:rFonts w:cstheme="minorHAnsi"/>
          <w:sz w:val="24"/>
          <w:szCs w:val="24"/>
        </w:rPr>
        <w:t xml:space="preserve">J Trop Med </w:t>
      </w:r>
      <w:proofErr w:type="spellStart"/>
      <w:r w:rsidR="00E85834" w:rsidRPr="00D908C6">
        <w:rPr>
          <w:rFonts w:cstheme="minorHAnsi"/>
          <w:sz w:val="24"/>
          <w:szCs w:val="24"/>
        </w:rPr>
        <w:t>Hyg</w:t>
      </w:r>
      <w:proofErr w:type="spellEnd"/>
      <w:r w:rsidR="00E85834" w:rsidRPr="00D908C6">
        <w:rPr>
          <w:rFonts w:cstheme="minorHAnsi"/>
          <w:sz w:val="24"/>
          <w:szCs w:val="24"/>
        </w:rPr>
        <w:t>.</w:t>
      </w:r>
      <w:proofErr w:type="gramEnd"/>
      <w:r w:rsidR="00E85834" w:rsidRPr="00D908C6">
        <w:rPr>
          <w:rFonts w:cstheme="minorHAnsi"/>
          <w:sz w:val="24"/>
          <w:szCs w:val="24"/>
        </w:rPr>
        <w:t xml:space="preserve"> 1983</w:t>
      </w:r>
      <w:proofErr w:type="gramStart"/>
      <w:r w:rsidR="00E85834" w:rsidRPr="00D908C6">
        <w:rPr>
          <w:rFonts w:cstheme="minorHAnsi"/>
          <w:sz w:val="24"/>
          <w:szCs w:val="24"/>
        </w:rPr>
        <w:t>;6:223</w:t>
      </w:r>
      <w:proofErr w:type="gramEnd"/>
      <w:r w:rsidR="00E85834" w:rsidRPr="00D908C6">
        <w:rPr>
          <w:rFonts w:cstheme="minorHAnsi"/>
          <w:sz w:val="24"/>
          <w:szCs w:val="24"/>
        </w:rPr>
        <w:t>-228.</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24</w:t>
      </w:r>
      <w:r w:rsidR="00E85834" w:rsidRPr="00D908C6">
        <w:rPr>
          <w:rFonts w:cstheme="minorHAnsi"/>
          <w:sz w:val="24"/>
          <w:szCs w:val="24"/>
        </w:rPr>
        <w:t xml:space="preserve">  </w:t>
      </w:r>
      <w:r w:rsidR="00E85834" w:rsidRPr="00D908C6">
        <w:rPr>
          <w:rFonts w:cstheme="minorHAnsi"/>
          <w:sz w:val="24"/>
          <w:szCs w:val="24"/>
        </w:rPr>
        <w:tab/>
        <w:t xml:space="preserve">Eke FU. </w:t>
      </w:r>
      <w:proofErr w:type="spellStart"/>
      <w:proofErr w:type="gramStart"/>
      <w:r w:rsidR="00E85834" w:rsidRPr="00D908C6">
        <w:rPr>
          <w:rFonts w:cstheme="minorHAnsi"/>
          <w:sz w:val="24"/>
          <w:szCs w:val="24"/>
        </w:rPr>
        <w:t>Nephrotic</w:t>
      </w:r>
      <w:proofErr w:type="spellEnd"/>
      <w:r w:rsidR="00E85834" w:rsidRPr="00D908C6">
        <w:rPr>
          <w:rFonts w:cstheme="minorHAnsi"/>
          <w:sz w:val="24"/>
          <w:szCs w:val="24"/>
        </w:rPr>
        <w:t xml:space="preserve"> syndrome in Port Harcourt – clinical presentation and response to steroids.</w:t>
      </w:r>
      <w:proofErr w:type="gramEnd"/>
      <w:r w:rsidR="00E85834" w:rsidRPr="00D908C6">
        <w:rPr>
          <w:rFonts w:cstheme="minorHAnsi"/>
          <w:sz w:val="24"/>
          <w:szCs w:val="24"/>
        </w:rPr>
        <w:t xml:space="preserve"> </w:t>
      </w:r>
      <w:proofErr w:type="spellStart"/>
      <w:r w:rsidR="00E85834" w:rsidRPr="00D908C6">
        <w:rPr>
          <w:rFonts w:cstheme="minorHAnsi"/>
          <w:sz w:val="24"/>
          <w:szCs w:val="24"/>
        </w:rPr>
        <w:t>Nig</w:t>
      </w:r>
      <w:proofErr w:type="spellEnd"/>
      <w:r w:rsidR="00E85834" w:rsidRPr="00D908C6">
        <w:rPr>
          <w:rFonts w:cstheme="minorHAnsi"/>
          <w:sz w:val="24"/>
          <w:szCs w:val="24"/>
        </w:rPr>
        <w:t xml:space="preserve"> J </w:t>
      </w:r>
      <w:proofErr w:type="spellStart"/>
      <w:r w:rsidR="00E85834" w:rsidRPr="00D908C6">
        <w:rPr>
          <w:rFonts w:cstheme="minorHAnsi"/>
          <w:sz w:val="24"/>
          <w:szCs w:val="24"/>
        </w:rPr>
        <w:t>Paed</w:t>
      </w:r>
      <w:proofErr w:type="spellEnd"/>
      <w:r w:rsidR="00E85834" w:rsidRPr="00D908C6">
        <w:rPr>
          <w:rFonts w:cstheme="minorHAnsi"/>
          <w:sz w:val="24"/>
          <w:szCs w:val="24"/>
        </w:rPr>
        <w:t>. 1990</w:t>
      </w:r>
      <w:proofErr w:type="gramStart"/>
      <w:r w:rsidR="00E85834" w:rsidRPr="00D908C6">
        <w:rPr>
          <w:rFonts w:cstheme="minorHAnsi"/>
          <w:sz w:val="24"/>
          <w:szCs w:val="24"/>
        </w:rPr>
        <w:t>;17:59</w:t>
      </w:r>
      <w:proofErr w:type="gramEnd"/>
      <w:r w:rsidR="00E85834" w:rsidRPr="00D908C6">
        <w:rPr>
          <w:rFonts w:cstheme="minorHAnsi"/>
          <w:sz w:val="24"/>
          <w:szCs w:val="24"/>
        </w:rPr>
        <w:t>-63.</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25</w:t>
      </w:r>
      <w:r w:rsidR="00E85834" w:rsidRPr="00D908C6">
        <w:rPr>
          <w:rFonts w:cstheme="minorHAnsi"/>
          <w:sz w:val="24"/>
          <w:szCs w:val="24"/>
        </w:rPr>
        <w:t xml:space="preserve">.       </w:t>
      </w:r>
      <w:proofErr w:type="spellStart"/>
      <w:r w:rsidR="00E85834" w:rsidRPr="00D908C6">
        <w:rPr>
          <w:rFonts w:cstheme="minorHAnsi"/>
          <w:sz w:val="24"/>
          <w:szCs w:val="24"/>
        </w:rPr>
        <w:t>Safaei</w:t>
      </w:r>
      <w:proofErr w:type="spellEnd"/>
      <w:r w:rsidR="00E85834" w:rsidRPr="00D908C6">
        <w:rPr>
          <w:rFonts w:cstheme="minorHAnsi"/>
          <w:sz w:val="24"/>
          <w:szCs w:val="24"/>
        </w:rPr>
        <w:t xml:space="preserve"> A, </w:t>
      </w:r>
      <w:proofErr w:type="spellStart"/>
      <w:r w:rsidR="00E85834" w:rsidRPr="00D908C6">
        <w:rPr>
          <w:rFonts w:cstheme="minorHAnsi"/>
          <w:sz w:val="24"/>
          <w:szCs w:val="24"/>
        </w:rPr>
        <w:t>Maleknejad</w:t>
      </w:r>
      <w:proofErr w:type="spellEnd"/>
      <w:r w:rsidR="00E85834" w:rsidRPr="00D908C6">
        <w:rPr>
          <w:rFonts w:cstheme="minorHAnsi"/>
          <w:sz w:val="24"/>
          <w:szCs w:val="24"/>
        </w:rPr>
        <w:t xml:space="preserve"> S. Spectrum of 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Iran: A single </w:t>
      </w:r>
      <w:proofErr w:type="spellStart"/>
      <w:r w:rsidR="00E85834" w:rsidRPr="00D908C6">
        <w:rPr>
          <w:rFonts w:cstheme="minorHAnsi"/>
          <w:sz w:val="24"/>
          <w:szCs w:val="24"/>
        </w:rPr>
        <w:t>center</w:t>
      </w:r>
      <w:proofErr w:type="spellEnd"/>
      <w:r w:rsidR="00E85834" w:rsidRPr="00D908C6">
        <w:rPr>
          <w:rFonts w:cstheme="minorHAnsi"/>
          <w:sz w:val="24"/>
          <w:szCs w:val="24"/>
        </w:rPr>
        <w:t xml:space="preserve"> study. Indian J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2009</w:t>
      </w:r>
      <w:proofErr w:type="gramStart"/>
      <w:r w:rsidR="00E85834" w:rsidRPr="00D908C6">
        <w:rPr>
          <w:rFonts w:cstheme="minorHAnsi"/>
          <w:sz w:val="24"/>
          <w:szCs w:val="24"/>
        </w:rPr>
        <w:t>;19:87</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90.</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26</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Srivastava</w:t>
      </w:r>
      <w:proofErr w:type="spellEnd"/>
      <w:r w:rsidR="00E85834" w:rsidRPr="00D908C6">
        <w:rPr>
          <w:rFonts w:cstheme="minorHAnsi"/>
          <w:sz w:val="24"/>
          <w:szCs w:val="24"/>
        </w:rPr>
        <w:t xml:space="preserve"> RN, </w:t>
      </w:r>
      <w:proofErr w:type="spellStart"/>
      <w:r w:rsidR="00E85834" w:rsidRPr="00D908C6">
        <w:rPr>
          <w:rFonts w:cstheme="minorHAnsi"/>
          <w:sz w:val="24"/>
          <w:szCs w:val="24"/>
        </w:rPr>
        <w:t>Mayekar</w:t>
      </w:r>
      <w:proofErr w:type="spellEnd"/>
      <w:r w:rsidR="00E85834" w:rsidRPr="00D908C6">
        <w:rPr>
          <w:rFonts w:cstheme="minorHAnsi"/>
          <w:sz w:val="24"/>
          <w:szCs w:val="24"/>
        </w:rPr>
        <w:t xml:space="preserve"> G, </w:t>
      </w:r>
      <w:proofErr w:type="spellStart"/>
      <w:r w:rsidR="00E85834" w:rsidRPr="00D908C6">
        <w:rPr>
          <w:rFonts w:cstheme="minorHAnsi"/>
          <w:sz w:val="24"/>
          <w:szCs w:val="24"/>
        </w:rPr>
        <w:t>Anand</w:t>
      </w:r>
      <w:proofErr w:type="spellEnd"/>
      <w:r w:rsidR="00E85834" w:rsidRPr="00D908C6">
        <w:rPr>
          <w:rFonts w:cstheme="minorHAnsi"/>
          <w:sz w:val="24"/>
          <w:szCs w:val="24"/>
        </w:rPr>
        <w:t xml:space="preserve"> R, </w:t>
      </w:r>
      <w:proofErr w:type="spellStart"/>
      <w:r w:rsidR="00E85834" w:rsidRPr="00D908C6">
        <w:rPr>
          <w:rFonts w:cstheme="minorHAnsi"/>
          <w:sz w:val="24"/>
          <w:szCs w:val="24"/>
        </w:rPr>
        <w:t>Choudhry</w:t>
      </w:r>
      <w:proofErr w:type="spellEnd"/>
      <w:r w:rsidR="00E85834" w:rsidRPr="00D908C6">
        <w:rPr>
          <w:rFonts w:cstheme="minorHAnsi"/>
          <w:sz w:val="24"/>
          <w:szCs w:val="24"/>
        </w:rPr>
        <w:t xml:space="preserve"> VP, </w:t>
      </w:r>
      <w:proofErr w:type="spellStart"/>
      <w:r w:rsidR="00E85834" w:rsidRPr="00D908C6">
        <w:rPr>
          <w:rFonts w:cstheme="minorHAnsi"/>
          <w:sz w:val="24"/>
          <w:szCs w:val="24"/>
        </w:rPr>
        <w:t>Ghai</w:t>
      </w:r>
      <w:proofErr w:type="spellEnd"/>
      <w:r w:rsidR="00E85834" w:rsidRPr="00D908C6">
        <w:rPr>
          <w:rFonts w:cstheme="minorHAnsi"/>
          <w:sz w:val="24"/>
          <w:szCs w:val="24"/>
        </w:rPr>
        <w:t xml:space="preserve"> OP, </w:t>
      </w:r>
      <w:proofErr w:type="spellStart"/>
      <w:r w:rsidR="00E85834" w:rsidRPr="00D908C6">
        <w:rPr>
          <w:rFonts w:cstheme="minorHAnsi"/>
          <w:sz w:val="24"/>
          <w:szCs w:val="24"/>
        </w:rPr>
        <w:t>Tandon</w:t>
      </w:r>
      <w:proofErr w:type="spellEnd"/>
      <w:r w:rsidR="00E85834" w:rsidRPr="00D908C6">
        <w:rPr>
          <w:rFonts w:cstheme="minorHAnsi"/>
          <w:sz w:val="24"/>
          <w:szCs w:val="24"/>
        </w:rPr>
        <w:t xml:space="preserve"> HD.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Indian children. Arch Dis Child 1975</w:t>
      </w:r>
      <w:proofErr w:type="gramStart"/>
      <w:r w:rsidR="00E85834" w:rsidRPr="00D908C6">
        <w:rPr>
          <w:rFonts w:cstheme="minorHAnsi"/>
          <w:sz w:val="24"/>
          <w:szCs w:val="24"/>
        </w:rPr>
        <w:t>;50:626</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30.</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27</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Polito</w:t>
      </w:r>
      <w:proofErr w:type="spellEnd"/>
      <w:r w:rsidR="00E85834" w:rsidRPr="00D908C6">
        <w:rPr>
          <w:rFonts w:cstheme="minorHAnsi"/>
          <w:sz w:val="24"/>
          <w:szCs w:val="24"/>
        </w:rPr>
        <w:t xml:space="preserve"> MG, de </w:t>
      </w:r>
      <w:proofErr w:type="spellStart"/>
      <w:r w:rsidR="00E85834" w:rsidRPr="00D908C6">
        <w:rPr>
          <w:rFonts w:cstheme="minorHAnsi"/>
          <w:sz w:val="24"/>
          <w:szCs w:val="24"/>
        </w:rPr>
        <w:t>Moura</w:t>
      </w:r>
      <w:proofErr w:type="spellEnd"/>
      <w:r w:rsidR="00E85834" w:rsidRPr="00D908C6">
        <w:rPr>
          <w:rFonts w:cstheme="minorHAnsi"/>
          <w:sz w:val="24"/>
          <w:szCs w:val="24"/>
        </w:rPr>
        <w:t xml:space="preserve"> LA, </w:t>
      </w:r>
      <w:proofErr w:type="spellStart"/>
      <w:r w:rsidR="00E85834" w:rsidRPr="00D908C6">
        <w:rPr>
          <w:rFonts w:cstheme="minorHAnsi"/>
          <w:sz w:val="24"/>
          <w:szCs w:val="24"/>
        </w:rPr>
        <w:t>Kirsztajn</w:t>
      </w:r>
      <w:proofErr w:type="spellEnd"/>
      <w:r w:rsidR="00E85834" w:rsidRPr="00D908C6">
        <w:rPr>
          <w:rFonts w:cstheme="minorHAnsi"/>
          <w:sz w:val="24"/>
          <w:szCs w:val="24"/>
        </w:rPr>
        <w:t xml:space="preserve"> GM. An overview on frequency of renal biopsy diagnosis in Brazil: Clinical and pathological patterns based on 9,617 native kidney biopsies.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Dial Transplant 2010</w:t>
      </w:r>
      <w:proofErr w:type="gramStart"/>
      <w:r w:rsidR="00E85834" w:rsidRPr="00D908C6">
        <w:rPr>
          <w:rFonts w:cstheme="minorHAnsi"/>
          <w:sz w:val="24"/>
          <w:szCs w:val="24"/>
        </w:rPr>
        <w:t>;25:490</w:t>
      </w:r>
      <w:proofErr w:type="gramEnd"/>
      <w:r w:rsidR="00E85834" w:rsidRPr="00D908C6">
        <w:rPr>
          <w:rFonts w:cstheme="minorHAnsi"/>
          <w:sz w:val="24"/>
          <w:szCs w:val="24"/>
        </w:rPr>
        <w:t>-6.</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28</w:t>
      </w:r>
      <w:r w:rsidR="00E85834" w:rsidRPr="00D908C6">
        <w:rPr>
          <w:rFonts w:cstheme="minorHAnsi"/>
          <w:sz w:val="24"/>
          <w:szCs w:val="24"/>
        </w:rPr>
        <w:t xml:space="preserve">.     </w:t>
      </w:r>
      <w:r w:rsidR="00E85834" w:rsidRPr="00D908C6">
        <w:rPr>
          <w:rFonts w:cstheme="minorHAnsi"/>
          <w:sz w:val="24"/>
          <w:szCs w:val="24"/>
        </w:rPr>
        <w:tab/>
        <w:t xml:space="preserve"> Abbas K, Mubarak M, </w:t>
      </w:r>
      <w:proofErr w:type="spellStart"/>
      <w:r w:rsidR="00E85834" w:rsidRPr="00D908C6">
        <w:rPr>
          <w:rFonts w:cstheme="minorHAnsi"/>
          <w:sz w:val="24"/>
          <w:szCs w:val="24"/>
        </w:rPr>
        <w:t>Kazi</w:t>
      </w:r>
      <w:proofErr w:type="spellEnd"/>
      <w:r w:rsidR="00E85834" w:rsidRPr="00D908C6">
        <w:rPr>
          <w:rFonts w:cstheme="minorHAnsi"/>
          <w:sz w:val="24"/>
          <w:szCs w:val="24"/>
        </w:rPr>
        <w:t xml:space="preserve"> JI, </w:t>
      </w:r>
      <w:proofErr w:type="spellStart"/>
      <w:r w:rsidR="00E85834" w:rsidRPr="00D908C6">
        <w:rPr>
          <w:rFonts w:cstheme="minorHAnsi"/>
          <w:sz w:val="24"/>
          <w:szCs w:val="24"/>
        </w:rPr>
        <w:t>Muzaffar</w:t>
      </w:r>
      <w:proofErr w:type="spellEnd"/>
      <w:r w:rsidR="00E85834" w:rsidRPr="00D908C6">
        <w:rPr>
          <w:rFonts w:cstheme="minorHAnsi"/>
          <w:sz w:val="24"/>
          <w:szCs w:val="24"/>
        </w:rPr>
        <w:t xml:space="preserve"> R. Pattern of morphology in renal biopsies of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patients. </w:t>
      </w:r>
      <w:proofErr w:type="gramStart"/>
      <w:r w:rsidR="00E85834" w:rsidRPr="00D908C6">
        <w:rPr>
          <w:rFonts w:cstheme="minorHAnsi"/>
          <w:sz w:val="24"/>
          <w:szCs w:val="24"/>
        </w:rPr>
        <w:t>Correlation with immunoglobulin and complement deposition and serology.</w:t>
      </w:r>
      <w:proofErr w:type="gramEnd"/>
      <w:r w:rsidR="00E85834" w:rsidRPr="00D908C6">
        <w:rPr>
          <w:rFonts w:cstheme="minorHAnsi"/>
          <w:sz w:val="24"/>
          <w:szCs w:val="24"/>
        </w:rPr>
        <w:t xml:space="preserve"> J Pak Med </w:t>
      </w:r>
      <w:proofErr w:type="spellStart"/>
      <w:r w:rsidR="00E85834" w:rsidRPr="00D908C6">
        <w:rPr>
          <w:rFonts w:cstheme="minorHAnsi"/>
          <w:sz w:val="24"/>
          <w:szCs w:val="24"/>
        </w:rPr>
        <w:t>Assoc</w:t>
      </w:r>
      <w:proofErr w:type="spellEnd"/>
      <w:r w:rsidR="00E85834" w:rsidRPr="00D908C6">
        <w:rPr>
          <w:rFonts w:cstheme="minorHAnsi"/>
          <w:sz w:val="24"/>
          <w:szCs w:val="24"/>
        </w:rPr>
        <w:t xml:space="preserve"> 2009</w:t>
      </w:r>
      <w:proofErr w:type="gramStart"/>
      <w:r w:rsidR="00E85834" w:rsidRPr="00D908C6">
        <w:rPr>
          <w:rFonts w:cstheme="minorHAnsi"/>
          <w:sz w:val="24"/>
          <w:szCs w:val="24"/>
        </w:rPr>
        <w:t>;59:540</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3.</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29</w:t>
      </w:r>
      <w:r w:rsidR="00D908C6">
        <w:rPr>
          <w:rFonts w:cstheme="minorHAnsi"/>
          <w:sz w:val="24"/>
          <w:szCs w:val="24"/>
        </w:rPr>
        <w:t xml:space="preserve">.      </w:t>
      </w:r>
      <w:proofErr w:type="spellStart"/>
      <w:r w:rsidR="00E85834" w:rsidRPr="00D908C6">
        <w:rPr>
          <w:rFonts w:cstheme="minorHAnsi"/>
          <w:sz w:val="24"/>
          <w:szCs w:val="24"/>
        </w:rPr>
        <w:t>Paripović</w:t>
      </w:r>
      <w:proofErr w:type="spellEnd"/>
      <w:r w:rsidR="00E85834" w:rsidRPr="00D908C6">
        <w:rPr>
          <w:rFonts w:cstheme="minorHAnsi"/>
          <w:sz w:val="24"/>
          <w:szCs w:val="24"/>
        </w:rPr>
        <w:t xml:space="preserve"> D, </w:t>
      </w:r>
      <w:proofErr w:type="spellStart"/>
      <w:r w:rsidR="00E85834" w:rsidRPr="00D908C6">
        <w:rPr>
          <w:rFonts w:cstheme="minorHAnsi"/>
          <w:sz w:val="24"/>
          <w:szCs w:val="24"/>
        </w:rPr>
        <w:t>Kostić</w:t>
      </w:r>
      <w:proofErr w:type="spellEnd"/>
      <w:r w:rsidR="00E85834" w:rsidRPr="00D908C6">
        <w:rPr>
          <w:rFonts w:cstheme="minorHAnsi"/>
          <w:sz w:val="24"/>
          <w:szCs w:val="24"/>
        </w:rPr>
        <w:t xml:space="preserve"> M, </w:t>
      </w:r>
      <w:proofErr w:type="spellStart"/>
      <w:r w:rsidR="00E85834" w:rsidRPr="00D908C6">
        <w:rPr>
          <w:rFonts w:cstheme="minorHAnsi"/>
          <w:sz w:val="24"/>
          <w:szCs w:val="24"/>
        </w:rPr>
        <w:t>Kruščić</w:t>
      </w:r>
      <w:proofErr w:type="spellEnd"/>
      <w:r w:rsidR="00E85834" w:rsidRPr="00D908C6">
        <w:rPr>
          <w:rFonts w:cstheme="minorHAnsi"/>
          <w:sz w:val="24"/>
          <w:szCs w:val="24"/>
        </w:rPr>
        <w:t xml:space="preserve"> D, </w:t>
      </w:r>
      <w:proofErr w:type="spellStart"/>
      <w:r w:rsidR="00E85834" w:rsidRPr="00D908C6">
        <w:rPr>
          <w:rFonts w:cstheme="minorHAnsi"/>
          <w:sz w:val="24"/>
          <w:szCs w:val="24"/>
        </w:rPr>
        <w:t>Spasojević</w:t>
      </w:r>
      <w:proofErr w:type="spellEnd"/>
      <w:r w:rsidR="00E85834" w:rsidRPr="00D908C6">
        <w:rPr>
          <w:rFonts w:cstheme="minorHAnsi"/>
          <w:sz w:val="24"/>
          <w:szCs w:val="24"/>
        </w:rPr>
        <w:t xml:space="preserve"> B, </w:t>
      </w:r>
      <w:proofErr w:type="spellStart"/>
      <w:r w:rsidR="00E85834" w:rsidRPr="00D908C6">
        <w:rPr>
          <w:rFonts w:cstheme="minorHAnsi"/>
          <w:sz w:val="24"/>
          <w:szCs w:val="24"/>
        </w:rPr>
        <w:t>Lomić</w:t>
      </w:r>
      <w:proofErr w:type="spellEnd"/>
      <w:r w:rsidR="00E85834" w:rsidRPr="00D908C6">
        <w:rPr>
          <w:rFonts w:cstheme="minorHAnsi"/>
          <w:sz w:val="24"/>
          <w:szCs w:val="24"/>
        </w:rPr>
        <w:t xml:space="preserve"> G, </w:t>
      </w:r>
      <w:proofErr w:type="spellStart"/>
      <w:r w:rsidR="00E85834" w:rsidRPr="00D908C6">
        <w:rPr>
          <w:rFonts w:cstheme="minorHAnsi"/>
          <w:sz w:val="24"/>
          <w:szCs w:val="24"/>
        </w:rPr>
        <w:t>Marković-Lipkovski</w:t>
      </w:r>
      <w:proofErr w:type="spellEnd"/>
      <w:r w:rsidR="00E85834" w:rsidRPr="00D908C6">
        <w:rPr>
          <w:rFonts w:cstheme="minorHAnsi"/>
          <w:sz w:val="24"/>
          <w:szCs w:val="24"/>
        </w:rPr>
        <w:t xml:space="preserve"> J, </w:t>
      </w:r>
      <w:proofErr w:type="spellStart"/>
      <w:r w:rsidR="00E85834" w:rsidRPr="00D908C6">
        <w:rPr>
          <w:rFonts w:cstheme="minorHAnsi"/>
          <w:sz w:val="24"/>
          <w:szCs w:val="24"/>
        </w:rPr>
        <w:t>Basta-Jovanović</w:t>
      </w:r>
      <w:proofErr w:type="spellEnd"/>
      <w:r w:rsidR="00E85834" w:rsidRPr="00D908C6">
        <w:rPr>
          <w:rFonts w:cstheme="minorHAnsi"/>
          <w:sz w:val="24"/>
          <w:szCs w:val="24"/>
        </w:rPr>
        <w:t xml:space="preserve"> G, et al. Indications and results of renal biopsy in children: a 10-year review from a single </w:t>
      </w:r>
      <w:proofErr w:type="spellStart"/>
      <w:r w:rsidR="00E85834" w:rsidRPr="00D908C6">
        <w:rPr>
          <w:rFonts w:cstheme="minorHAnsi"/>
          <w:sz w:val="24"/>
          <w:szCs w:val="24"/>
        </w:rPr>
        <w:t>center</w:t>
      </w:r>
      <w:proofErr w:type="spellEnd"/>
      <w:r w:rsidR="00E85834" w:rsidRPr="00D908C6">
        <w:rPr>
          <w:rFonts w:cstheme="minorHAnsi"/>
          <w:sz w:val="24"/>
          <w:szCs w:val="24"/>
        </w:rPr>
        <w:t xml:space="preserve"> in Serbia J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2012; 25: 1054 -1059</w:t>
      </w:r>
    </w:p>
    <w:p w:rsidR="00E85834" w:rsidRPr="00D908C6" w:rsidRDefault="00A2120F" w:rsidP="00756524">
      <w:pPr>
        <w:spacing w:line="240" w:lineRule="auto"/>
        <w:ind w:left="720" w:hanging="720"/>
        <w:jc w:val="both"/>
        <w:rPr>
          <w:rFonts w:cstheme="minorHAnsi"/>
          <w:sz w:val="24"/>
          <w:szCs w:val="24"/>
        </w:rPr>
      </w:pPr>
      <w:r>
        <w:rPr>
          <w:rFonts w:cstheme="minorHAnsi"/>
          <w:sz w:val="24"/>
          <w:szCs w:val="24"/>
        </w:rPr>
        <w:t>30</w:t>
      </w:r>
      <w:r w:rsidR="00E85834" w:rsidRPr="00D908C6">
        <w:rPr>
          <w:rFonts w:cstheme="minorHAnsi"/>
          <w:sz w:val="24"/>
          <w:szCs w:val="24"/>
        </w:rPr>
        <w:t xml:space="preserve">.   </w:t>
      </w:r>
      <w:r w:rsidR="00D908C6">
        <w:rPr>
          <w:rFonts w:cstheme="minorHAnsi"/>
          <w:sz w:val="24"/>
          <w:szCs w:val="24"/>
        </w:rPr>
        <w:tab/>
      </w:r>
      <w:r w:rsidR="00E85834" w:rsidRPr="00D908C6">
        <w:rPr>
          <w:rFonts w:cstheme="minorHAnsi"/>
          <w:sz w:val="24"/>
          <w:szCs w:val="24"/>
        </w:rPr>
        <w:t xml:space="preserve"> </w:t>
      </w:r>
      <w:proofErr w:type="spellStart"/>
      <w:r w:rsidR="00E85834" w:rsidRPr="00D908C6">
        <w:rPr>
          <w:rFonts w:cstheme="minorHAnsi"/>
          <w:sz w:val="24"/>
          <w:szCs w:val="24"/>
        </w:rPr>
        <w:t>Hamdy</w:t>
      </w:r>
      <w:proofErr w:type="spellEnd"/>
      <w:r w:rsidR="00E85834" w:rsidRPr="00D908C6">
        <w:rPr>
          <w:rFonts w:cstheme="minorHAnsi"/>
          <w:sz w:val="24"/>
          <w:szCs w:val="24"/>
        </w:rPr>
        <w:t xml:space="preserve"> AS, </w:t>
      </w:r>
      <w:proofErr w:type="spellStart"/>
      <w:r w:rsidR="00E85834" w:rsidRPr="00D908C6">
        <w:rPr>
          <w:rFonts w:cstheme="minorHAnsi"/>
          <w:sz w:val="24"/>
          <w:szCs w:val="24"/>
        </w:rPr>
        <w:t>Gamal</w:t>
      </w:r>
      <w:proofErr w:type="spellEnd"/>
      <w:r w:rsidR="00E85834" w:rsidRPr="00D908C6">
        <w:rPr>
          <w:rFonts w:cstheme="minorHAnsi"/>
          <w:sz w:val="24"/>
          <w:szCs w:val="24"/>
        </w:rPr>
        <w:t xml:space="preserve"> AT, </w:t>
      </w:r>
      <w:proofErr w:type="spellStart"/>
      <w:r w:rsidR="00E85834" w:rsidRPr="00D908C6">
        <w:rPr>
          <w:rFonts w:cstheme="minorHAnsi"/>
          <w:sz w:val="24"/>
          <w:szCs w:val="24"/>
        </w:rPr>
        <w:t>Maha</w:t>
      </w:r>
      <w:proofErr w:type="spellEnd"/>
      <w:r w:rsidR="00E85834" w:rsidRPr="00D908C6">
        <w:rPr>
          <w:rFonts w:cstheme="minorHAnsi"/>
          <w:sz w:val="24"/>
          <w:szCs w:val="24"/>
        </w:rPr>
        <w:t xml:space="preserve"> A, Mohammed MK. The </w:t>
      </w:r>
      <w:proofErr w:type="spellStart"/>
      <w:r w:rsidR="00E85834" w:rsidRPr="00D908C6">
        <w:rPr>
          <w:rFonts w:cstheme="minorHAnsi"/>
          <w:sz w:val="24"/>
          <w:szCs w:val="24"/>
        </w:rPr>
        <w:t>histopathological</w:t>
      </w:r>
      <w:proofErr w:type="spellEnd"/>
      <w:r w:rsidR="00E85834" w:rsidRPr="00D908C6">
        <w:rPr>
          <w:rFonts w:cstheme="minorHAnsi"/>
          <w:sz w:val="24"/>
          <w:szCs w:val="24"/>
        </w:rPr>
        <w:t xml:space="preserve"> profile of kidney diseases in a single centre in Egypt: An overview of 14 years of experience. J </w:t>
      </w:r>
      <w:proofErr w:type="spellStart"/>
      <w:r w:rsidR="00E85834" w:rsidRPr="00D908C6">
        <w:rPr>
          <w:rFonts w:cstheme="minorHAnsi"/>
          <w:sz w:val="24"/>
          <w:szCs w:val="24"/>
        </w:rPr>
        <w:t>Clin</w:t>
      </w:r>
      <w:proofErr w:type="spellEnd"/>
      <w:r w:rsidR="00E85834" w:rsidRPr="00D908C6">
        <w:rPr>
          <w:rFonts w:cstheme="minorHAnsi"/>
          <w:sz w:val="24"/>
          <w:szCs w:val="24"/>
        </w:rPr>
        <w:t xml:space="preserve"> </w:t>
      </w:r>
      <w:proofErr w:type="spellStart"/>
      <w:r w:rsidR="00E85834" w:rsidRPr="00D908C6">
        <w:rPr>
          <w:rFonts w:cstheme="minorHAnsi"/>
          <w:sz w:val="24"/>
          <w:szCs w:val="24"/>
        </w:rPr>
        <w:t>Diagn</w:t>
      </w:r>
      <w:proofErr w:type="spellEnd"/>
      <w:r w:rsidR="00E85834" w:rsidRPr="00D908C6">
        <w:rPr>
          <w:rFonts w:cstheme="minorHAnsi"/>
          <w:sz w:val="24"/>
          <w:szCs w:val="24"/>
        </w:rPr>
        <w:t xml:space="preserve"> Res 2011</w:t>
      </w:r>
      <w:proofErr w:type="gramStart"/>
      <w:r w:rsidR="00E85834" w:rsidRPr="00D908C6">
        <w:rPr>
          <w:rFonts w:cstheme="minorHAnsi"/>
          <w:sz w:val="24"/>
          <w:szCs w:val="24"/>
        </w:rPr>
        <w:t>;5:295</w:t>
      </w:r>
      <w:proofErr w:type="gramEnd"/>
      <w:r w:rsidR="00E85834" w:rsidRPr="00D908C6">
        <w:rPr>
          <w:rFonts w:cstheme="minorHAnsi"/>
          <w:sz w:val="24"/>
          <w:szCs w:val="24"/>
        </w:rPr>
        <w:t xml:space="preserve">-300.  </w:t>
      </w:r>
    </w:p>
    <w:p w:rsidR="00D749BF" w:rsidRDefault="00D749BF" w:rsidP="00756524">
      <w:pPr>
        <w:spacing w:line="240" w:lineRule="auto"/>
        <w:ind w:left="720" w:hanging="720"/>
        <w:jc w:val="both"/>
        <w:rPr>
          <w:rFonts w:cstheme="minorHAnsi"/>
          <w:sz w:val="24"/>
          <w:szCs w:val="24"/>
        </w:rPr>
      </w:pPr>
      <w:r>
        <w:rPr>
          <w:rFonts w:cstheme="minorHAnsi"/>
          <w:sz w:val="24"/>
          <w:szCs w:val="24"/>
        </w:rPr>
        <w:t>31</w:t>
      </w:r>
      <w:r w:rsidR="00E85834" w:rsidRPr="00D908C6">
        <w:rPr>
          <w:rFonts w:cstheme="minorHAnsi"/>
          <w:sz w:val="24"/>
          <w:szCs w:val="24"/>
        </w:rPr>
        <w:t xml:space="preserve">.      </w:t>
      </w:r>
      <w:r w:rsidR="00E85834" w:rsidRPr="00D908C6">
        <w:rPr>
          <w:rFonts w:cstheme="minorHAnsi"/>
          <w:sz w:val="24"/>
          <w:szCs w:val="24"/>
        </w:rPr>
        <w:tab/>
        <w:t xml:space="preserve"> </w:t>
      </w:r>
      <w:r w:rsidRPr="00D908C6">
        <w:rPr>
          <w:rFonts w:cstheme="minorHAnsi"/>
          <w:sz w:val="24"/>
          <w:szCs w:val="24"/>
        </w:rPr>
        <w:t xml:space="preserve">Marco F, </w:t>
      </w:r>
      <w:proofErr w:type="spellStart"/>
      <w:r w:rsidRPr="00D908C6">
        <w:rPr>
          <w:rFonts w:cstheme="minorHAnsi"/>
          <w:sz w:val="24"/>
          <w:szCs w:val="24"/>
        </w:rPr>
        <w:t>Davide</w:t>
      </w:r>
      <w:proofErr w:type="spellEnd"/>
      <w:r w:rsidRPr="00D908C6">
        <w:rPr>
          <w:rFonts w:cstheme="minorHAnsi"/>
          <w:sz w:val="24"/>
          <w:szCs w:val="24"/>
        </w:rPr>
        <w:t xml:space="preserve"> B, Vladimir T, Anna P, </w:t>
      </w:r>
      <w:proofErr w:type="spellStart"/>
      <w:r w:rsidRPr="00D908C6">
        <w:rPr>
          <w:rFonts w:cstheme="minorHAnsi"/>
          <w:sz w:val="24"/>
          <w:szCs w:val="24"/>
        </w:rPr>
        <w:t>Wim</w:t>
      </w:r>
      <w:proofErr w:type="spellEnd"/>
      <w:r w:rsidRPr="00D908C6">
        <w:rPr>
          <w:rFonts w:cstheme="minorHAnsi"/>
          <w:sz w:val="24"/>
          <w:szCs w:val="24"/>
        </w:rPr>
        <w:t xml:space="preserve">-Van B, </w:t>
      </w:r>
      <w:proofErr w:type="spellStart"/>
      <w:r w:rsidRPr="00D908C6">
        <w:rPr>
          <w:rFonts w:cstheme="minorHAnsi"/>
          <w:sz w:val="24"/>
          <w:szCs w:val="24"/>
        </w:rPr>
        <w:t>Graziella</w:t>
      </w:r>
      <w:proofErr w:type="spellEnd"/>
      <w:r w:rsidRPr="00D908C6">
        <w:rPr>
          <w:rFonts w:cstheme="minorHAnsi"/>
          <w:sz w:val="24"/>
          <w:szCs w:val="24"/>
        </w:rPr>
        <w:t xml:space="preserve"> D, Giovanni T, Loreto </w:t>
      </w:r>
      <w:proofErr w:type="spellStart"/>
      <w:r w:rsidRPr="00D908C6">
        <w:rPr>
          <w:rFonts w:cstheme="minorHAnsi"/>
          <w:sz w:val="24"/>
          <w:szCs w:val="24"/>
        </w:rPr>
        <w:t>G.Renal</w:t>
      </w:r>
      <w:proofErr w:type="spellEnd"/>
      <w:r w:rsidRPr="00D908C6">
        <w:rPr>
          <w:rFonts w:cstheme="minorHAnsi"/>
          <w:sz w:val="24"/>
          <w:szCs w:val="24"/>
        </w:rPr>
        <w:t xml:space="preserve"> biopsy in 2015 – From Epidemiology to Evidence Based Indications Am J </w:t>
      </w:r>
      <w:proofErr w:type="spellStart"/>
      <w:r w:rsidRPr="00D908C6">
        <w:rPr>
          <w:rFonts w:cstheme="minorHAnsi"/>
          <w:sz w:val="24"/>
          <w:szCs w:val="24"/>
        </w:rPr>
        <w:t>Nephrol</w:t>
      </w:r>
      <w:proofErr w:type="spellEnd"/>
      <w:r w:rsidRPr="00D908C6">
        <w:rPr>
          <w:rFonts w:cstheme="minorHAnsi"/>
          <w:sz w:val="24"/>
          <w:szCs w:val="24"/>
        </w:rPr>
        <w:t xml:space="preserve"> 2016;43:1-19.</w:t>
      </w:r>
    </w:p>
    <w:p w:rsidR="00D749BF" w:rsidRDefault="00D749BF" w:rsidP="00756524">
      <w:pPr>
        <w:spacing w:line="240" w:lineRule="auto"/>
        <w:ind w:left="720" w:hanging="720"/>
        <w:jc w:val="both"/>
        <w:rPr>
          <w:rFonts w:cstheme="minorHAnsi"/>
          <w:sz w:val="24"/>
          <w:szCs w:val="24"/>
        </w:rPr>
      </w:pPr>
      <w:r>
        <w:rPr>
          <w:rFonts w:cstheme="minorHAnsi"/>
          <w:sz w:val="24"/>
          <w:szCs w:val="24"/>
        </w:rPr>
        <w:lastRenderedPageBreak/>
        <w:t xml:space="preserve">   </w:t>
      </w:r>
    </w:p>
    <w:p w:rsidR="00E85834" w:rsidRPr="00D908C6" w:rsidRDefault="00D749BF" w:rsidP="00D749BF">
      <w:pPr>
        <w:spacing w:line="240" w:lineRule="auto"/>
        <w:ind w:left="720" w:hanging="720"/>
        <w:jc w:val="both"/>
        <w:rPr>
          <w:rFonts w:cstheme="minorHAnsi"/>
          <w:sz w:val="24"/>
          <w:szCs w:val="24"/>
        </w:rPr>
      </w:pPr>
      <w:r>
        <w:rPr>
          <w:rFonts w:cstheme="minorHAnsi"/>
          <w:sz w:val="24"/>
          <w:szCs w:val="24"/>
        </w:rPr>
        <w:t xml:space="preserve">32.   </w:t>
      </w:r>
      <w:proofErr w:type="spellStart"/>
      <w:r w:rsidR="00E85834" w:rsidRPr="00D908C6">
        <w:rPr>
          <w:rFonts w:cstheme="minorHAnsi"/>
          <w:sz w:val="24"/>
          <w:szCs w:val="24"/>
        </w:rPr>
        <w:t>Dhaun</w:t>
      </w:r>
      <w:proofErr w:type="spellEnd"/>
      <w:r w:rsidR="00E85834" w:rsidRPr="00D908C6">
        <w:rPr>
          <w:rFonts w:cstheme="minorHAnsi"/>
          <w:sz w:val="24"/>
          <w:szCs w:val="24"/>
        </w:rPr>
        <w:t xml:space="preserve"> N, Bellamy CO, </w:t>
      </w:r>
      <w:proofErr w:type="spellStart"/>
      <w:r w:rsidR="00E85834" w:rsidRPr="00D908C6">
        <w:rPr>
          <w:rFonts w:cstheme="minorHAnsi"/>
          <w:sz w:val="24"/>
          <w:szCs w:val="24"/>
        </w:rPr>
        <w:t>Cattran</w:t>
      </w:r>
      <w:proofErr w:type="spellEnd"/>
      <w:r w:rsidR="00E85834" w:rsidRPr="00D908C6">
        <w:rPr>
          <w:rFonts w:cstheme="minorHAnsi"/>
          <w:sz w:val="24"/>
          <w:szCs w:val="24"/>
        </w:rPr>
        <w:t xml:space="preserve"> DC, </w:t>
      </w:r>
      <w:proofErr w:type="spellStart"/>
      <w:r w:rsidR="00E85834" w:rsidRPr="00D908C6">
        <w:rPr>
          <w:rFonts w:cstheme="minorHAnsi"/>
          <w:sz w:val="24"/>
          <w:szCs w:val="24"/>
        </w:rPr>
        <w:t>Kluth</w:t>
      </w:r>
      <w:proofErr w:type="spellEnd"/>
      <w:r w:rsidR="00E85834" w:rsidRPr="00D908C6">
        <w:rPr>
          <w:rFonts w:cstheme="minorHAnsi"/>
          <w:sz w:val="24"/>
          <w:szCs w:val="24"/>
        </w:rPr>
        <w:t xml:space="preserve"> DC: Utility of renal biopsy in the clinical management of renal disease. Kidney </w:t>
      </w:r>
      <w:proofErr w:type="spellStart"/>
      <w:r w:rsidR="00E85834" w:rsidRPr="00D908C6">
        <w:rPr>
          <w:rFonts w:cstheme="minorHAnsi"/>
          <w:sz w:val="24"/>
          <w:szCs w:val="24"/>
        </w:rPr>
        <w:t>Int</w:t>
      </w:r>
      <w:proofErr w:type="spellEnd"/>
      <w:r w:rsidR="00E85834" w:rsidRPr="00D908C6">
        <w:rPr>
          <w:rFonts w:cstheme="minorHAnsi"/>
          <w:sz w:val="24"/>
          <w:szCs w:val="24"/>
        </w:rPr>
        <w:t xml:space="preserve"> 2014; 85: 1039 – 1048.     </w:t>
      </w:r>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33</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Maoujoud</w:t>
      </w:r>
      <w:proofErr w:type="spellEnd"/>
      <w:r w:rsidR="00E85834" w:rsidRPr="00D908C6">
        <w:rPr>
          <w:rFonts w:cstheme="minorHAnsi"/>
          <w:sz w:val="24"/>
          <w:szCs w:val="24"/>
        </w:rPr>
        <w:t xml:space="preserve"> O, </w:t>
      </w:r>
      <w:proofErr w:type="spellStart"/>
      <w:r w:rsidR="00E85834" w:rsidRPr="00D908C6">
        <w:rPr>
          <w:rFonts w:cstheme="minorHAnsi"/>
          <w:sz w:val="24"/>
          <w:szCs w:val="24"/>
        </w:rPr>
        <w:t>Aatif</w:t>
      </w:r>
      <w:proofErr w:type="spellEnd"/>
      <w:r w:rsidR="00E85834" w:rsidRPr="00D908C6">
        <w:rPr>
          <w:rFonts w:cstheme="minorHAnsi"/>
          <w:sz w:val="24"/>
          <w:szCs w:val="24"/>
        </w:rPr>
        <w:t xml:space="preserve"> T, </w:t>
      </w:r>
      <w:proofErr w:type="spellStart"/>
      <w:r w:rsidR="00E85834" w:rsidRPr="00D908C6">
        <w:rPr>
          <w:rFonts w:cstheme="minorHAnsi"/>
          <w:sz w:val="24"/>
          <w:szCs w:val="24"/>
        </w:rPr>
        <w:t>Bahadi</w:t>
      </w:r>
      <w:proofErr w:type="spellEnd"/>
      <w:r w:rsidR="00E85834" w:rsidRPr="00D908C6">
        <w:rPr>
          <w:rFonts w:cstheme="minorHAnsi"/>
          <w:sz w:val="24"/>
          <w:szCs w:val="24"/>
        </w:rPr>
        <w:t xml:space="preserve"> A, </w:t>
      </w:r>
      <w:proofErr w:type="spellStart"/>
      <w:r w:rsidR="00E85834" w:rsidRPr="00D908C6">
        <w:rPr>
          <w:rFonts w:cstheme="minorHAnsi"/>
          <w:sz w:val="24"/>
          <w:szCs w:val="24"/>
        </w:rPr>
        <w:t>Zajjari</w:t>
      </w:r>
      <w:proofErr w:type="spellEnd"/>
      <w:r w:rsidR="00E85834" w:rsidRPr="00D908C6">
        <w:rPr>
          <w:rFonts w:cstheme="minorHAnsi"/>
          <w:sz w:val="24"/>
          <w:szCs w:val="24"/>
        </w:rPr>
        <w:t xml:space="preserve"> Y, </w:t>
      </w:r>
      <w:proofErr w:type="spellStart"/>
      <w:r w:rsidR="00E85834" w:rsidRPr="00D908C6">
        <w:rPr>
          <w:rFonts w:cstheme="minorHAnsi"/>
          <w:sz w:val="24"/>
          <w:szCs w:val="24"/>
        </w:rPr>
        <w:t>Benyahya</w:t>
      </w:r>
      <w:proofErr w:type="spellEnd"/>
      <w:r w:rsidR="00E85834" w:rsidRPr="00D908C6">
        <w:rPr>
          <w:rFonts w:cstheme="minorHAnsi"/>
          <w:sz w:val="24"/>
          <w:szCs w:val="24"/>
        </w:rPr>
        <w:t xml:space="preserve"> M, </w:t>
      </w:r>
      <w:proofErr w:type="spellStart"/>
      <w:r w:rsidR="00E85834" w:rsidRPr="00D908C6">
        <w:rPr>
          <w:rFonts w:cstheme="minorHAnsi"/>
          <w:sz w:val="24"/>
          <w:szCs w:val="24"/>
        </w:rPr>
        <w:t>Ahid</w:t>
      </w:r>
      <w:proofErr w:type="spellEnd"/>
      <w:r w:rsidR="00E85834" w:rsidRPr="00D908C6">
        <w:rPr>
          <w:rFonts w:cstheme="minorHAnsi"/>
          <w:sz w:val="24"/>
          <w:szCs w:val="24"/>
        </w:rPr>
        <w:t xml:space="preserve"> S, et al. Regional disparities in </w:t>
      </w:r>
      <w:proofErr w:type="spellStart"/>
      <w:r w:rsidR="00E85834" w:rsidRPr="00D908C6">
        <w:rPr>
          <w:rFonts w:cstheme="minorHAnsi"/>
          <w:sz w:val="24"/>
          <w:szCs w:val="24"/>
        </w:rPr>
        <w:t>etiology</w:t>
      </w:r>
      <w:proofErr w:type="spellEnd"/>
      <w:r w:rsidR="00E85834" w:rsidRPr="00D908C6">
        <w:rPr>
          <w:rFonts w:cstheme="minorHAnsi"/>
          <w:sz w:val="24"/>
          <w:szCs w:val="24"/>
        </w:rPr>
        <w:t xml:space="preserve"> of end-stage renal disease in Africa. Saudi J Kidney Dis </w:t>
      </w:r>
      <w:proofErr w:type="spellStart"/>
      <w:r w:rsidR="00E85834" w:rsidRPr="00D908C6">
        <w:rPr>
          <w:rFonts w:cstheme="minorHAnsi"/>
          <w:sz w:val="24"/>
          <w:szCs w:val="24"/>
        </w:rPr>
        <w:t>Transpl</w:t>
      </w:r>
      <w:proofErr w:type="spellEnd"/>
      <w:r w:rsidR="00E85834" w:rsidRPr="00D908C6">
        <w:rPr>
          <w:rFonts w:cstheme="minorHAnsi"/>
          <w:sz w:val="24"/>
          <w:szCs w:val="24"/>
        </w:rPr>
        <w:t xml:space="preserve"> 2013</w:t>
      </w:r>
      <w:proofErr w:type="gramStart"/>
      <w:r w:rsidR="00E85834" w:rsidRPr="00D908C6">
        <w:rPr>
          <w:rFonts w:cstheme="minorHAnsi"/>
          <w:sz w:val="24"/>
          <w:szCs w:val="24"/>
        </w:rPr>
        <w:t>;24:594</w:t>
      </w:r>
      <w:proofErr w:type="gramEnd"/>
      <w:r w:rsidR="00E85834" w:rsidRPr="00D908C6">
        <w:rPr>
          <w:rFonts w:cstheme="minorHAnsi"/>
          <w:sz w:val="24"/>
          <w:szCs w:val="24"/>
        </w:rPr>
        <w:t>-595</w:t>
      </w:r>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34</w:t>
      </w:r>
      <w:r w:rsidR="00105263">
        <w:rPr>
          <w:rFonts w:cstheme="minorHAnsi"/>
          <w:sz w:val="24"/>
          <w:szCs w:val="24"/>
        </w:rPr>
        <w:t xml:space="preserve">.      </w:t>
      </w:r>
      <w:proofErr w:type="spellStart"/>
      <w:r w:rsidR="00E85834" w:rsidRPr="00D908C6">
        <w:rPr>
          <w:rFonts w:cstheme="minorHAnsi"/>
          <w:sz w:val="24"/>
          <w:szCs w:val="24"/>
        </w:rPr>
        <w:t>Samih</w:t>
      </w:r>
      <w:proofErr w:type="spellEnd"/>
      <w:r w:rsidR="00E85834" w:rsidRPr="00D908C6">
        <w:rPr>
          <w:rFonts w:cstheme="minorHAnsi"/>
          <w:sz w:val="24"/>
          <w:szCs w:val="24"/>
        </w:rPr>
        <w:t xml:space="preserve"> H. N</w:t>
      </w:r>
      <w:proofErr w:type="gramStart"/>
      <w:r w:rsidR="00E85834" w:rsidRPr="00D908C6">
        <w:rPr>
          <w:rFonts w:cstheme="minorHAnsi"/>
          <w:sz w:val="24"/>
          <w:szCs w:val="24"/>
        </w:rPr>
        <w:t>,  Anjali</w:t>
      </w:r>
      <w:proofErr w:type="gramEnd"/>
      <w:r w:rsidR="00E85834" w:rsidRPr="00D908C6">
        <w:rPr>
          <w:rFonts w:cstheme="minorHAnsi"/>
          <w:sz w:val="24"/>
          <w:szCs w:val="24"/>
        </w:rPr>
        <w:t xml:space="preserve"> S, Glen S M, Anthony M. V, Gerald B. A</w:t>
      </w:r>
      <w:proofErr w:type="gramStart"/>
      <w:r w:rsidR="00E85834" w:rsidRPr="00D908C6">
        <w:rPr>
          <w:rFonts w:cstheme="minorHAnsi"/>
          <w:sz w:val="24"/>
          <w:szCs w:val="24"/>
        </w:rPr>
        <w:t>,  Michael</w:t>
      </w:r>
      <w:proofErr w:type="gramEnd"/>
      <w:r w:rsidR="00E85834" w:rsidRPr="00D908C6">
        <w:rPr>
          <w:rFonts w:cstheme="minorHAnsi"/>
          <w:sz w:val="24"/>
          <w:szCs w:val="24"/>
        </w:rPr>
        <w:t xml:space="preserve"> B. S, </w:t>
      </w:r>
      <w:proofErr w:type="spellStart"/>
      <w:r w:rsidR="00E85834" w:rsidRPr="00D908C6">
        <w:rPr>
          <w:rFonts w:cstheme="minorHAnsi"/>
          <w:sz w:val="24"/>
          <w:szCs w:val="24"/>
        </w:rPr>
        <w:t>Tibor</w:t>
      </w:r>
      <w:proofErr w:type="spellEnd"/>
      <w:r w:rsidR="00E85834" w:rsidRPr="00D908C6">
        <w:rPr>
          <w:rFonts w:cstheme="minorHAnsi"/>
          <w:sz w:val="24"/>
          <w:szCs w:val="24"/>
        </w:rPr>
        <w:t xml:space="preserve"> N, </w:t>
      </w:r>
      <w:proofErr w:type="spellStart"/>
      <w:r w:rsidR="00E85834" w:rsidRPr="00D908C6">
        <w:rPr>
          <w:rFonts w:cstheme="minorHAnsi"/>
          <w:sz w:val="24"/>
          <w:szCs w:val="24"/>
        </w:rPr>
        <w:t>D’Agati</w:t>
      </w:r>
      <w:proofErr w:type="spellEnd"/>
      <w:r w:rsidR="00E85834" w:rsidRPr="00D908C6">
        <w:rPr>
          <w:rFonts w:cstheme="minorHAnsi"/>
          <w:sz w:val="24"/>
          <w:szCs w:val="24"/>
        </w:rPr>
        <w:t xml:space="preserve"> V.D. Proliferative Glomerulonephritis with Monoclonal </w:t>
      </w:r>
      <w:proofErr w:type="spellStart"/>
      <w:r w:rsidR="00E85834" w:rsidRPr="00D908C6">
        <w:rPr>
          <w:rFonts w:cstheme="minorHAnsi"/>
          <w:sz w:val="24"/>
          <w:szCs w:val="24"/>
        </w:rPr>
        <w:t>IgG</w:t>
      </w:r>
      <w:proofErr w:type="spellEnd"/>
      <w:r w:rsidR="00E85834" w:rsidRPr="00D908C6">
        <w:rPr>
          <w:rFonts w:cstheme="minorHAnsi"/>
          <w:sz w:val="24"/>
          <w:szCs w:val="24"/>
        </w:rPr>
        <w:t xml:space="preserve"> Deposits. J Am </w:t>
      </w:r>
      <w:proofErr w:type="spellStart"/>
      <w:r w:rsidR="00E85834" w:rsidRPr="00D908C6">
        <w:rPr>
          <w:rFonts w:cstheme="minorHAnsi"/>
          <w:sz w:val="24"/>
          <w:szCs w:val="24"/>
        </w:rPr>
        <w:t>Soc</w:t>
      </w:r>
      <w:proofErr w:type="spellEnd"/>
      <w:r w:rsidR="00E85834" w:rsidRPr="00D908C6">
        <w:rPr>
          <w:rFonts w:cstheme="minorHAnsi"/>
          <w:sz w:val="24"/>
          <w:szCs w:val="24"/>
        </w:rPr>
        <w:t xml:space="preserve">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2009</w:t>
      </w:r>
      <w:proofErr w:type="gramStart"/>
      <w:r w:rsidR="00E85834" w:rsidRPr="00D908C6">
        <w:rPr>
          <w:rFonts w:cstheme="minorHAnsi"/>
          <w:sz w:val="24"/>
          <w:szCs w:val="24"/>
        </w:rPr>
        <w:t>;20</w:t>
      </w:r>
      <w:proofErr w:type="gramEnd"/>
      <w:r w:rsidR="00E85834" w:rsidRPr="00D908C6">
        <w:rPr>
          <w:rFonts w:cstheme="minorHAnsi"/>
          <w:sz w:val="24"/>
          <w:szCs w:val="24"/>
        </w:rPr>
        <w:t>: 2055–2064.</w:t>
      </w:r>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 xml:space="preserve">35.      </w:t>
      </w:r>
      <w:proofErr w:type="spellStart"/>
      <w:r w:rsidR="00105263" w:rsidRPr="00D908C6">
        <w:rPr>
          <w:rFonts w:cstheme="minorHAnsi"/>
          <w:sz w:val="24"/>
          <w:szCs w:val="24"/>
        </w:rPr>
        <w:t>Jennette</w:t>
      </w:r>
      <w:proofErr w:type="spellEnd"/>
      <w:r w:rsidR="00105263" w:rsidRPr="00D908C6">
        <w:rPr>
          <w:rFonts w:cstheme="minorHAnsi"/>
          <w:sz w:val="24"/>
          <w:szCs w:val="24"/>
        </w:rPr>
        <w:t xml:space="preserve"> </w:t>
      </w:r>
      <w:r w:rsidR="00105263">
        <w:rPr>
          <w:rFonts w:cstheme="minorHAnsi"/>
          <w:sz w:val="24"/>
          <w:szCs w:val="24"/>
        </w:rPr>
        <w:t>JC</w:t>
      </w:r>
      <w:r w:rsidR="00E85834" w:rsidRPr="00D908C6">
        <w:rPr>
          <w:rFonts w:cstheme="minorHAnsi"/>
          <w:sz w:val="24"/>
          <w:szCs w:val="24"/>
        </w:rPr>
        <w:t xml:space="preserve">, </w:t>
      </w:r>
      <w:r w:rsidR="00105263" w:rsidRPr="00D908C6">
        <w:rPr>
          <w:rFonts w:cstheme="minorHAnsi"/>
          <w:sz w:val="24"/>
          <w:szCs w:val="24"/>
        </w:rPr>
        <w:t xml:space="preserve">Olson </w:t>
      </w:r>
      <w:r w:rsidR="00105263">
        <w:rPr>
          <w:rFonts w:cstheme="minorHAnsi"/>
          <w:sz w:val="24"/>
          <w:szCs w:val="24"/>
        </w:rPr>
        <w:t>JL</w:t>
      </w:r>
      <w:r w:rsidR="00E85834" w:rsidRPr="00D908C6">
        <w:rPr>
          <w:rFonts w:cstheme="minorHAnsi"/>
          <w:sz w:val="24"/>
          <w:szCs w:val="24"/>
        </w:rPr>
        <w:t xml:space="preserve">, </w:t>
      </w:r>
      <w:r w:rsidR="00105263" w:rsidRPr="00D908C6">
        <w:rPr>
          <w:rFonts w:cstheme="minorHAnsi"/>
          <w:sz w:val="24"/>
          <w:szCs w:val="24"/>
        </w:rPr>
        <w:t xml:space="preserve">Schwartz </w:t>
      </w:r>
      <w:r w:rsidR="009B4696">
        <w:rPr>
          <w:rFonts w:cstheme="minorHAnsi"/>
          <w:sz w:val="24"/>
          <w:szCs w:val="24"/>
        </w:rPr>
        <w:t>MM</w:t>
      </w:r>
      <w:r w:rsidR="00E85834" w:rsidRPr="00D908C6">
        <w:rPr>
          <w:rFonts w:cstheme="minorHAnsi"/>
          <w:sz w:val="24"/>
          <w:szCs w:val="24"/>
        </w:rPr>
        <w:t xml:space="preserve">, </w:t>
      </w:r>
      <w:r w:rsidR="009B4696" w:rsidRPr="00D908C6">
        <w:rPr>
          <w:rFonts w:cstheme="minorHAnsi"/>
          <w:sz w:val="24"/>
          <w:szCs w:val="24"/>
        </w:rPr>
        <w:t>Silva</w:t>
      </w:r>
      <w:r w:rsidR="009B4696" w:rsidRPr="00D908C6">
        <w:rPr>
          <w:rFonts w:cstheme="minorHAnsi"/>
          <w:sz w:val="24"/>
          <w:szCs w:val="24"/>
        </w:rPr>
        <w:t xml:space="preserve"> </w:t>
      </w:r>
      <w:r w:rsidR="009B4696">
        <w:rPr>
          <w:rFonts w:cstheme="minorHAnsi"/>
          <w:sz w:val="24"/>
          <w:szCs w:val="24"/>
        </w:rPr>
        <w:t>FG</w:t>
      </w:r>
      <w:r w:rsidR="00E85834" w:rsidRPr="00D908C6">
        <w:rPr>
          <w:rFonts w:cstheme="minorHAnsi"/>
          <w:sz w:val="24"/>
          <w:szCs w:val="24"/>
        </w:rPr>
        <w:t xml:space="preserve">. </w:t>
      </w:r>
      <w:proofErr w:type="gramStart"/>
      <w:r w:rsidR="00E85834" w:rsidRPr="00D908C6">
        <w:rPr>
          <w:rFonts w:cstheme="minorHAnsi"/>
          <w:sz w:val="24"/>
          <w:szCs w:val="24"/>
        </w:rPr>
        <w:t>Primer on the Pathologic Diagnosis of Renal Disease.</w:t>
      </w:r>
      <w:proofErr w:type="gramEnd"/>
      <w:r w:rsidR="00E85834" w:rsidRPr="00D908C6">
        <w:rPr>
          <w:rFonts w:cstheme="minorHAnsi"/>
          <w:sz w:val="24"/>
          <w:szCs w:val="24"/>
        </w:rPr>
        <w:t xml:space="preserve"> </w:t>
      </w:r>
      <w:proofErr w:type="spellStart"/>
      <w:proofErr w:type="gramStart"/>
      <w:r w:rsidR="00E85834" w:rsidRPr="00D908C6">
        <w:rPr>
          <w:rFonts w:cstheme="minorHAnsi"/>
          <w:sz w:val="24"/>
          <w:szCs w:val="24"/>
        </w:rPr>
        <w:t>Hep</w:t>
      </w:r>
      <w:r w:rsidR="009B4696">
        <w:rPr>
          <w:rFonts w:cstheme="minorHAnsi"/>
          <w:sz w:val="24"/>
          <w:szCs w:val="24"/>
        </w:rPr>
        <w:t>stinat</w:t>
      </w:r>
      <w:r w:rsidR="00E85834" w:rsidRPr="00D908C6">
        <w:rPr>
          <w:rFonts w:cstheme="minorHAnsi"/>
          <w:sz w:val="24"/>
          <w:szCs w:val="24"/>
        </w:rPr>
        <w:t>'s</w:t>
      </w:r>
      <w:proofErr w:type="spellEnd"/>
      <w:r w:rsidR="00E85834" w:rsidRPr="00D908C6">
        <w:rPr>
          <w:rFonts w:cstheme="minorHAnsi"/>
          <w:sz w:val="24"/>
          <w:szCs w:val="24"/>
        </w:rPr>
        <w:t xml:space="preserve"> Pathology of the Kidney, Volume One 6th Edition.</w:t>
      </w:r>
      <w:proofErr w:type="gramEnd"/>
      <w:r w:rsidR="00E85834" w:rsidRPr="00D908C6">
        <w:rPr>
          <w:rFonts w:cstheme="minorHAnsi"/>
          <w:sz w:val="24"/>
          <w:szCs w:val="24"/>
        </w:rPr>
        <w:t xml:space="preserve"> </w:t>
      </w:r>
      <w:proofErr w:type="gramStart"/>
      <w:r w:rsidR="00E85834" w:rsidRPr="00D908C6">
        <w:rPr>
          <w:rFonts w:cstheme="minorHAnsi"/>
          <w:sz w:val="24"/>
          <w:szCs w:val="24"/>
        </w:rPr>
        <w:t>2007 Lippincott Williams &amp; Wilkins.</w:t>
      </w:r>
      <w:proofErr w:type="gramEnd"/>
      <w:r w:rsidR="00E85834" w:rsidRPr="00D908C6">
        <w:rPr>
          <w:rFonts w:cstheme="minorHAnsi"/>
          <w:sz w:val="24"/>
          <w:szCs w:val="24"/>
        </w:rPr>
        <w:t xml:space="preserve"> Editors: </w:t>
      </w:r>
      <w:proofErr w:type="spellStart"/>
      <w:r w:rsidR="00E85834" w:rsidRPr="00D908C6">
        <w:rPr>
          <w:rFonts w:cstheme="minorHAnsi"/>
          <w:sz w:val="24"/>
          <w:szCs w:val="24"/>
        </w:rPr>
        <w:t>Jennette</w:t>
      </w:r>
      <w:proofErr w:type="spellEnd"/>
      <w:r w:rsidR="00E85834" w:rsidRPr="00D908C6">
        <w:rPr>
          <w:rFonts w:cstheme="minorHAnsi"/>
          <w:sz w:val="24"/>
          <w:szCs w:val="24"/>
        </w:rPr>
        <w:t>, J. Charles; Olson, Jean L.; Schwartz, Melvin M.; Silva, Fred G.</w:t>
      </w:r>
    </w:p>
    <w:p w:rsidR="00E85834" w:rsidRPr="00D908C6" w:rsidRDefault="00E85834" w:rsidP="00756524">
      <w:pPr>
        <w:spacing w:line="240" w:lineRule="auto"/>
        <w:ind w:left="720" w:hanging="720"/>
        <w:jc w:val="both"/>
        <w:rPr>
          <w:rFonts w:cstheme="minorHAnsi"/>
          <w:sz w:val="24"/>
          <w:szCs w:val="24"/>
        </w:rPr>
      </w:pPr>
      <w:r w:rsidRPr="00D908C6">
        <w:rPr>
          <w:rFonts w:cstheme="minorHAnsi"/>
          <w:sz w:val="24"/>
          <w:szCs w:val="24"/>
        </w:rPr>
        <w:t>3</w:t>
      </w:r>
      <w:r w:rsidR="00D749BF">
        <w:rPr>
          <w:rFonts w:cstheme="minorHAnsi"/>
          <w:sz w:val="24"/>
          <w:szCs w:val="24"/>
        </w:rPr>
        <w:t>6</w:t>
      </w:r>
      <w:r w:rsidR="00105263">
        <w:rPr>
          <w:rFonts w:cstheme="minorHAnsi"/>
          <w:sz w:val="24"/>
          <w:szCs w:val="24"/>
        </w:rPr>
        <w:t xml:space="preserve">.    </w:t>
      </w:r>
      <w:r w:rsidR="00105263">
        <w:rPr>
          <w:rFonts w:cstheme="minorHAnsi"/>
          <w:sz w:val="24"/>
          <w:szCs w:val="24"/>
        </w:rPr>
        <w:tab/>
      </w:r>
      <w:r w:rsidRPr="00D908C6">
        <w:rPr>
          <w:rFonts w:cstheme="minorHAnsi"/>
          <w:sz w:val="24"/>
          <w:szCs w:val="24"/>
        </w:rPr>
        <w:t xml:space="preserve">Ahmad ZH, </w:t>
      </w:r>
      <w:proofErr w:type="spellStart"/>
      <w:r w:rsidRPr="00D908C6">
        <w:rPr>
          <w:rFonts w:cstheme="minorHAnsi"/>
          <w:sz w:val="24"/>
          <w:szCs w:val="24"/>
        </w:rPr>
        <w:t>Riaz</w:t>
      </w:r>
      <w:proofErr w:type="spellEnd"/>
      <w:r w:rsidRPr="00D908C6">
        <w:rPr>
          <w:rFonts w:cstheme="minorHAnsi"/>
          <w:sz w:val="24"/>
          <w:szCs w:val="24"/>
        </w:rPr>
        <w:t xml:space="preserve"> G, Aziz A. Renal biopsy in paediatric population J </w:t>
      </w:r>
      <w:proofErr w:type="spellStart"/>
      <w:r w:rsidRPr="00D908C6">
        <w:rPr>
          <w:rFonts w:cstheme="minorHAnsi"/>
          <w:sz w:val="24"/>
          <w:szCs w:val="24"/>
        </w:rPr>
        <w:t>Saidu</w:t>
      </w:r>
      <w:proofErr w:type="spellEnd"/>
      <w:r w:rsidRPr="00D908C6">
        <w:rPr>
          <w:rFonts w:cstheme="minorHAnsi"/>
          <w:sz w:val="24"/>
          <w:szCs w:val="24"/>
        </w:rPr>
        <w:t xml:space="preserve"> Med </w:t>
      </w:r>
      <w:proofErr w:type="spellStart"/>
      <w:r w:rsidRPr="00D908C6">
        <w:rPr>
          <w:rFonts w:cstheme="minorHAnsi"/>
          <w:sz w:val="24"/>
          <w:szCs w:val="24"/>
        </w:rPr>
        <w:t>Colleg</w:t>
      </w:r>
      <w:proofErr w:type="spellEnd"/>
      <w:r w:rsidRPr="00D908C6">
        <w:rPr>
          <w:rFonts w:cstheme="minorHAnsi"/>
          <w:sz w:val="24"/>
          <w:szCs w:val="24"/>
        </w:rPr>
        <w:t xml:space="preserve"> 2013;3:314-317</w:t>
      </w:r>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37</w:t>
      </w:r>
      <w:r w:rsidR="00E85834" w:rsidRPr="00D908C6">
        <w:rPr>
          <w:rFonts w:cstheme="minorHAnsi"/>
          <w:sz w:val="24"/>
          <w:szCs w:val="24"/>
        </w:rPr>
        <w:t xml:space="preserve">.    </w:t>
      </w:r>
      <w:proofErr w:type="spellStart"/>
      <w:r w:rsidR="00E85834" w:rsidRPr="00D908C6">
        <w:rPr>
          <w:rFonts w:cstheme="minorHAnsi"/>
          <w:sz w:val="24"/>
          <w:szCs w:val="24"/>
        </w:rPr>
        <w:t>Asinobi</w:t>
      </w:r>
      <w:proofErr w:type="spellEnd"/>
      <w:r w:rsidR="00E85834" w:rsidRPr="00D908C6">
        <w:rPr>
          <w:rFonts w:cstheme="minorHAnsi"/>
          <w:sz w:val="24"/>
          <w:szCs w:val="24"/>
        </w:rPr>
        <w:t xml:space="preserve"> AO, </w:t>
      </w:r>
      <w:proofErr w:type="spellStart"/>
      <w:r w:rsidR="00E85834" w:rsidRPr="00D908C6">
        <w:rPr>
          <w:rFonts w:cstheme="minorHAnsi"/>
          <w:sz w:val="24"/>
          <w:szCs w:val="24"/>
        </w:rPr>
        <w:t>Gbadegesin</w:t>
      </w:r>
      <w:proofErr w:type="spellEnd"/>
      <w:r w:rsidR="00E85834" w:rsidRPr="00D908C6">
        <w:rPr>
          <w:rFonts w:cstheme="minorHAnsi"/>
          <w:sz w:val="24"/>
          <w:szCs w:val="24"/>
        </w:rPr>
        <w:t xml:space="preserve"> RA, </w:t>
      </w:r>
      <w:proofErr w:type="spellStart"/>
      <w:r w:rsidR="00E85834" w:rsidRPr="00D908C6">
        <w:rPr>
          <w:rFonts w:cstheme="minorHAnsi"/>
          <w:sz w:val="24"/>
          <w:szCs w:val="24"/>
        </w:rPr>
        <w:t>Adeyemo</w:t>
      </w:r>
      <w:proofErr w:type="spellEnd"/>
      <w:r w:rsidR="00E85834" w:rsidRPr="00D908C6">
        <w:rPr>
          <w:rFonts w:cstheme="minorHAnsi"/>
          <w:sz w:val="24"/>
          <w:szCs w:val="24"/>
        </w:rPr>
        <w:t xml:space="preserve"> AA, </w:t>
      </w:r>
      <w:proofErr w:type="spellStart"/>
      <w:r w:rsidR="00E85834" w:rsidRPr="00D908C6">
        <w:rPr>
          <w:rFonts w:cstheme="minorHAnsi"/>
          <w:sz w:val="24"/>
          <w:szCs w:val="24"/>
        </w:rPr>
        <w:t>Akang</w:t>
      </w:r>
      <w:proofErr w:type="spellEnd"/>
      <w:r w:rsidR="00E85834" w:rsidRPr="00D908C6">
        <w:rPr>
          <w:rFonts w:cstheme="minorHAnsi"/>
          <w:sz w:val="24"/>
          <w:szCs w:val="24"/>
        </w:rPr>
        <w:t xml:space="preserve"> EE, </w:t>
      </w:r>
      <w:proofErr w:type="spellStart"/>
      <w:r w:rsidR="00E85834" w:rsidRPr="00D908C6">
        <w:rPr>
          <w:rFonts w:cstheme="minorHAnsi"/>
          <w:sz w:val="24"/>
          <w:szCs w:val="24"/>
        </w:rPr>
        <w:t>Arowolo</w:t>
      </w:r>
      <w:proofErr w:type="spellEnd"/>
      <w:r w:rsidR="00E85834" w:rsidRPr="00D908C6">
        <w:rPr>
          <w:rFonts w:cstheme="minorHAnsi"/>
          <w:sz w:val="24"/>
          <w:szCs w:val="24"/>
        </w:rPr>
        <w:t xml:space="preserve"> FA, </w:t>
      </w:r>
      <w:proofErr w:type="spellStart"/>
      <w:r w:rsidR="00E85834" w:rsidRPr="00D908C6">
        <w:rPr>
          <w:rFonts w:cstheme="minorHAnsi"/>
          <w:sz w:val="24"/>
          <w:szCs w:val="24"/>
        </w:rPr>
        <w:t>Abiola</w:t>
      </w:r>
      <w:proofErr w:type="spellEnd"/>
      <w:r w:rsidR="00E85834" w:rsidRPr="00D908C6">
        <w:rPr>
          <w:rFonts w:cstheme="minorHAnsi"/>
          <w:sz w:val="24"/>
          <w:szCs w:val="24"/>
        </w:rPr>
        <w:t xml:space="preserve"> OA, et al. Predominance of </w:t>
      </w:r>
      <w:proofErr w:type="spellStart"/>
      <w:r w:rsidR="00E85834" w:rsidRPr="00D908C6">
        <w:rPr>
          <w:rFonts w:cstheme="minorHAnsi"/>
          <w:sz w:val="24"/>
          <w:szCs w:val="24"/>
        </w:rPr>
        <w:t>membranoproliferative</w:t>
      </w:r>
      <w:proofErr w:type="spellEnd"/>
      <w:r w:rsidR="00E85834" w:rsidRPr="00D908C6">
        <w:rPr>
          <w:rFonts w:cstheme="minorHAnsi"/>
          <w:sz w:val="24"/>
          <w:szCs w:val="24"/>
        </w:rPr>
        <w:t xml:space="preserve"> glomerulonephritis in 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Ibadan, Nigeria. West </w:t>
      </w:r>
      <w:proofErr w:type="spellStart"/>
      <w:r w:rsidR="00E85834" w:rsidRPr="00D908C6">
        <w:rPr>
          <w:rFonts w:cstheme="minorHAnsi"/>
          <w:sz w:val="24"/>
          <w:szCs w:val="24"/>
        </w:rPr>
        <w:t>Afr</w:t>
      </w:r>
      <w:proofErr w:type="spellEnd"/>
      <w:r w:rsidR="00E85834" w:rsidRPr="00D908C6">
        <w:rPr>
          <w:rFonts w:cstheme="minorHAnsi"/>
          <w:sz w:val="24"/>
          <w:szCs w:val="24"/>
        </w:rPr>
        <w:t xml:space="preserve"> J Med 1999</w:t>
      </w:r>
      <w:proofErr w:type="gramStart"/>
      <w:r w:rsidR="00E85834" w:rsidRPr="00D908C6">
        <w:rPr>
          <w:rFonts w:cstheme="minorHAnsi"/>
          <w:sz w:val="24"/>
          <w:szCs w:val="24"/>
        </w:rPr>
        <w:t>;18:203</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6.</w:t>
      </w:r>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38</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Adedoyin</w:t>
      </w:r>
      <w:proofErr w:type="spellEnd"/>
      <w:r w:rsidR="00E85834" w:rsidRPr="00D908C6">
        <w:rPr>
          <w:rFonts w:cstheme="minorHAnsi"/>
          <w:sz w:val="24"/>
          <w:szCs w:val="24"/>
        </w:rPr>
        <w:t xml:space="preserve"> OT, </w:t>
      </w:r>
      <w:proofErr w:type="spellStart"/>
      <w:r w:rsidR="00E85834" w:rsidRPr="00D908C6">
        <w:rPr>
          <w:rFonts w:cstheme="minorHAnsi"/>
          <w:sz w:val="24"/>
          <w:szCs w:val="24"/>
        </w:rPr>
        <w:t>Gbelee</w:t>
      </w:r>
      <w:proofErr w:type="spellEnd"/>
      <w:r w:rsidR="00E85834" w:rsidRPr="00D908C6">
        <w:rPr>
          <w:rFonts w:cstheme="minorHAnsi"/>
          <w:sz w:val="24"/>
          <w:szCs w:val="24"/>
        </w:rPr>
        <w:t xml:space="preserve"> HO, </w:t>
      </w:r>
      <w:proofErr w:type="spellStart"/>
      <w:r w:rsidR="00E85834" w:rsidRPr="00D908C6">
        <w:rPr>
          <w:rFonts w:cstheme="minorHAnsi"/>
          <w:sz w:val="24"/>
          <w:szCs w:val="24"/>
        </w:rPr>
        <w:t>Adeniyi</w:t>
      </w:r>
      <w:proofErr w:type="spellEnd"/>
      <w:r w:rsidR="00E85834" w:rsidRPr="00D908C6">
        <w:rPr>
          <w:rFonts w:cstheme="minorHAnsi"/>
          <w:sz w:val="24"/>
          <w:szCs w:val="24"/>
        </w:rPr>
        <w:t xml:space="preserve"> A. childhood </w:t>
      </w:r>
      <w:proofErr w:type="spellStart"/>
      <w:r w:rsidR="00E85834" w:rsidRPr="00D908C6">
        <w:rPr>
          <w:rFonts w:cstheme="minorHAnsi"/>
          <w:sz w:val="24"/>
          <w:szCs w:val="24"/>
        </w:rPr>
        <w:t>nephrotic</w:t>
      </w:r>
      <w:proofErr w:type="spellEnd"/>
      <w:r w:rsidR="00E85834" w:rsidRPr="00D908C6">
        <w:rPr>
          <w:rFonts w:cstheme="minorHAnsi"/>
          <w:sz w:val="24"/>
          <w:szCs w:val="24"/>
        </w:rPr>
        <w:t xml:space="preserve"> syndrome in </w:t>
      </w:r>
      <w:proofErr w:type="spellStart"/>
      <w:r w:rsidR="00E85834" w:rsidRPr="00D908C6">
        <w:rPr>
          <w:rFonts w:cstheme="minorHAnsi"/>
          <w:sz w:val="24"/>
          <w:szCs w:val="24"/>
        </w:rPr>
        <w:t>llorin</w:t>
      </w:r>
      <w:proofErr w:type="spellEnd"/>
      <w:r w:rsidR="00E85834" w:rsidRPr="00D908C6">
        <w:rPr>
          <w:rFonts w:cstheme="minorHAnsi"/>
          <w:sz w:val="24"/>
          <w:szCs w:val="24"/>
        </w:rPr>
        <w:t xml:space="preserve">. Niger J </w:t>
      </w:r>
      <w:proofErr w:type="spellStart"/>
      <w:r w:rsidR="00E85834" w:rsidRPr="00D908C6">
        <w:rPr>
          <w:rFonts w:cstheme="minorHAnsi"/>
          <w:sz w:val="24"/>
          <w:szCs w:val="24"/>
        </w:rPr>
        <w:t>Paediatr</w:t>
      </w:r>
      <w:proofErr w:type="spellEnd"/>
      <w:r w:rsidR="00E85834" w:rsidRPr="00D908C6">
        <w:rPr>
          <w:rFonts w:cstheme="minorHAnsi"/>
          <w:sz w:val="24"/>
          <w:szCs w:val="24"/>
        </w:rPr>
        <w:t xml:space="preserve"> 2001</w:t>
      </w:r>
      <w:proofErr w:type="gramStart"/>
      <w:r w:rsidR="00E85834" w:rsidRPr="00D908C6">
        <w:rPr>
          <w:rFonts w:cstheme="minorHAnsi"/>
          <w:sz w:val="24"/>
          <w:szCs w:val="24"/>
        </w:rPr>
        <w:t>;28:68</w:t>
      </w:r>
      <w:proofErr w:type="gramEnd"/>
      <w:r w:rsidR="00E85834" w:rsidRPr="00D908C6">
        <w:rPr>
          <w:rFonts w:ascii="MS Mincho" w:eastAsia="MS Mincho" w:hAnsi="MS Mincho" w:cs="MS Mincho" w:hint="eastAsia"/>
          <w:sz w:val="24"/>
          <w:szCs w:val="24"/>
        </w:rPr>
        <w:t>‑</w:t>
      </w:r>
      <w:r w:rsidR="00E85834" w:rsidRPr="00D908C6">
        <w:rPr>
          <w:rFonts w:cstheme="minorHAnsi"/>
          <w:sz w:val="24"/>
          <w:szCs w:val="24"/>
        </w:rPr>
        <w:t>72.</w:t>
      </w:r>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39</w:t>
      </w:r>
      <w:r w:rsidR="00E85834" w:rsidRPr="00D908C6">
        <w:rPr>
          <w:rFonts w:cstheme="minorHAnsi"/>
          <w:sz w:val="24"/>
          <w:szCs w:val="24"/>
        </w:rPr>
        <w:t xml:space="preserve">.      </w:t>
      </w:r>
      <w:r w:rsidR="00E85834" w:rsidRPr="00D908C6">
        <w:rPr>
          <w:rFonts w:cstheme="minorHAnsi"/>
          <w:sz w:val="24"/>
          <w:szCs w:val="24"/>
        </w:rPr>
        <w:tab/>
      </w:r>
      <w:proofErr w:type="spellStart"/>
      <w:r w:rsidR="00E85834" w:rsidRPr="00D908C6">
        <w:rPr>
          <w:rFonts w:cstheme="minorHAnsi"/>
          <w:sz w:val="24"/>
          <w:szCs w:val="24"/>
        </w:rPr>
        <w:t>Albaqumi</w:t>
      </w:r>
      <w:proofErr w:type="spellEnd"/>
      <w:r w:rsidR="00E85834" w:rsidRPr="00D908C6">
        <w:rPr>
          <w:rFonts w:cstheme="minorHAnsi"/>
          <w:sz w:val="24"/>
          <w:szCs w:val="24"/>
        </w:rPr>
        <w:t xml:space="preserve"> M, </w:t>
      </w:r>
      <w:proofErr w:type="spellStart"/>
      <w:r w:rsidR="00E85834" w:rsidRPr="00D908C6">
        <w:rPr>
          <w:rFonts w:cstheme="minorHAnsi"/>
          <w:sz w:val="24"/>
          <w:szCs w:val="24"/>
        </w:rPr>
        <w:t>Soos</w:t>
      </w:r>
      <w:proofErr w:type="spellEnd"/>
      <w:r w:rsidR="00E85834" w:rsidRPr="00D908C6">
        <w:rPr>
          <w:rFonts w:cstheme="minorHAnsi"/>
          <w:sz w:val="24"/>
          <w:szCs w:val="24"/>
        </w:rPr>
        <w:t xml:space="preserve"> TJ, </w:t>
      </w:r>
      <w:proofErr w:type="spellStart"/>
      <w:r w:rsidR="00E85834" w:rsidRPr="00D908C6">
        <w:rPr>
          <w:rFonts w:cstheme="minorHAnsi"/>
          <w:sz w:val="24"/>
          <w:szCs w:val="24"/>
        </w:rPr>
        <w:t>Barisoni</w:t>
      </w:r>
      <w:proofErr w:type="spellEnd"/>
      <w:r w:rsidR="00E85834" w:rsidRPr="00D908C6">
        <w:rPr>
          <w:rFonts w:cstheme="minorHAnsi"/>
          <w:sz w:val="24"/>
          <w:szCs w:val="24"/>
        </w:rPr>
        <w:t xml:space="preserve"> L, Nelson PJ, Collapsing </w:t>
      </w:r>
      <w:proofErr w:type="spellStart"/>
      <w:r w:rsidR="00E85834" w:rsidRPr="00D908C6">
        <w:rPr>
          <w:rFonts w:cstheme="minorHAnsi"/>
          <w:sz w:val="24"/>
          <w:szCs w:val="24"/>
        </w:rPr>
        <w:t>Glomerulopathy</w:t>
      </w:r>
      <w:proofErr w:type="spellEnd"/>
      <w:r w:rsidR="00E85834" w:rsidRPr="00D908C6">
        <w:rPr>
          <w:rFonts w:cstheme="minorHAnsi"/>
          <w:sz w:val="24"/>
          <w:szCs w:val="24"/>
        </w:rPr>
        <w:t xml:space="preserve">. J Am </w:t>
      </w:r>
      <w:proofErr w:type="spellStart"/>
      <w:r w:rsidR="00E85834" w:rsidRPr="00D908C6">
        <w:rPr>
          <w:rFonts w:cstheme="minorHAnsi"/>
          <w:sz w:val="24"/>
          <w:szCs w:val="24"/>
        </w:rPr>
        <w:t>Soc</w:t>
      </w:r>
      <w:proofErr w:type="spellEnd"/>
      <w:r w:rsidR="00E85834" w:rsidRPr="00D908C6">
        <w:rPr>
          <w:rFonts w:cstheme="minorHAnsi"/>
          <w:sz w:val="24"/>
          <w:szCs w:val="24"/>
        </w:rPr>
        <w:t xml:space="preserve"> </w:t>
      </w:r>
      <w:proofErr w:type="spellStart"/>
      <w:r w:rsidR="00E85834" w:rsidRPr="00D908C6">
        <w:rPr>
          <w:rFonts w:cstheme="minorHAnsi"/>
          <w:sz w:val="24"/>
          <w:szCs w:val="24"/>
        </w:rPr>
        <w:t>Nephrol</w:t>
      </w:r>
      <w:proofErr w:type="spellEnd"/>
      <w:r w:rsidR="00E85834" w:rsidRPr="00D908C6">
        <w:rPr>
          <w:rFonts w:cstheme="minorHAnsi"/>
          <w:sz w:val="24"/>
          <w:szCs w:val="24"/>
        </w:rPr>
        <w:t xml:space="preserve">. </w:t>
      </w:r>
      <w:proofErr w:type="gramStart"/>
      <w:r w:rsidR="00E85834" w:rsidRPr="00D908C6">
        <w:rPr>
          <w:rFonts w:cstheme="minorHAnsi"/>
          <w:sz w:val="24"/>
          <w:szCs w:val="24"/>
        </w:rPr>
        <w:t>2006; 17:2854-63.</w:t>
      </w:r>
      <w:proofErr w:type="gramEnd"/>
    </w:p>
    <w:p w:rsidR="00E85834" w:rsidRPr="00D908C6" w:rsidRDefault="00D749BF" w:rsidP="00756524">
      <w:pPr>
        <w:spacing w:line="240" w:lineRule="auto"/>
        <w:ind w:left="720" w:hanging="720"/>
        <w:jc w:val="both"/>
        <w:rPr>
          <w:rFonts w:cstheme="minorHAnsi"/>
          <w:sz w:val="24"/>
          <w:szCs w:val="24"/>
        </w:rPr>
      </w:pPr>
      <w:r>
        <w:rPr>
          <w:rFonts w:cstheme="minorHAnsi"/>
          <w:sz w:val="24"/>
          <w:szCs w:val="24"/>
        </w:rPr>
        <w:t>40</w:t>
      </w:r>
      <w:r w:rsidR="00105263">
        <w:rPr>
          <w:rFonts w:cstheme="minorHAnsi"/>
          <w:sz w:val="24"/>
          <w:szCs w:val="24"/>
        </w:rPr>
        <w:t xml:space="preserve">.   </w:t>
      </w:r>
      <w:r w:rsidR="00105263">
        <w:rPr>
          <w:rFonts w:cstheme="minorHAnsi"/>
          <w:sz w:val="24"/>
          <w:szCs w:val="24"/>
        </w:rPr>
        <w:tab/>
      </w:r>
      <w:proofErr w:type="spellStart"/>
      <w:r w:rsidR="00E85834" w:rsidRPr="00D908C6">
        <w:rPr>
          <w:rFonts w:cstheme="minorHAnsi"/>
          <w:sz w:val="24"/>
          <w:szCs w:val="24"/>
        </w:rPr>
        <w:t>Amoura</w:t>
      </w:r>
      <w:proofErr w:type="spellEnd"/>
      <w:r w:rsidR="00E85834" w:rsidRPr="00D908C6">
        <w:rPr>
          <w:rFonts w:cstheme="minorHAnsi"/>
          <w:sz w:val="24"/>
          <w:szCs w:val="24"/>
        </w:rPr>
        <w:t xml:space="preserve"> Z, </w:t>
      </w:r>
      <w:proofErr w:type="spellStart"/>
      <w:r w:rsidR="00E85834" w:rsidRPr="00D908C6">
        <w:rPr>
          <w:rFonts w:cstheme="minorHAnsi"/>
          <w:sz w:val="24"/>
          <w:szCs w:val="24"/>
        </w:rPr>
        <w:t>Georgin-Lavialle</w:t>
      </w:r>
      <w:proofErr w:type="spellEnd"/>
      <w:r w:rsidR="00E85834" w:rsidRPr="00D908C6">
        <w:rPr>
          <w:rFonts w:cstheme="minorHAnsi"/>
          <w:sz w:val="24"/>
          <w:szCs w:val="24"/>
        </w:rPr>
        <w:t xml:space="preserve"> S, </w:t>
      </w:r>
      <w:proofErr w:type="spellStart"/>
      <w:r w:rsidR="00E85834" w:rsidRPr="00D908C6">
        <w:rPr>
          <w:rFonts w:cstheme="minorHAnsi"/>
          <w:sz w:val="24"/>
          <w:szCs w:val="24"/>
        </w:rPr>
        <w:t>Hareche</w:t>
      </w:r>
      <w:proofErr w:type="spellEnd"/>
      <w:r w:rsidR="00E85834" w:rsidRPr="00D908C6">
        <w:rPr>
          <w:rFonts w:cstheme="minorHAnsi"/>
          <w:sz w:val="24"/>
          <w:szCs w:val="24"/>
        </w:rPr>
        <w:t xml:space="preserve"> J, </w:t>
      </w:r>
      <w:proofErr w:type="spellStart"/>
      <w:r w:rsidR="00E85834" w:rsidRPr="00D908C6">
        <w:rPr>
          <w:rFonts w:cstheme="minorHAnsi"/>
          <w:sz w:val="24"/>
          <w:szCs w:val="24"/>
        </w:rPr>
        <w:t>Merrien</w:t>
      </w:r>
      <w:proofErr w:type="spellEnd"/>
      <w:r w:rsidR="00E85834" w:rsidRPr="00D908C6">
        <w:rPr>
          <w:rFonts w:cstheme="minorHAnsi"/>
          <w:sz w:val="24"/>
          <w:szCs w:val="24"/>
        </w:rPr>
        <w:t xml:space="preserve"> D, </w:t>
      </w:r>
      <w:proofErr w:type="spellStart"/>
      <w:r w:rsidR="00E85834" w:rsidRPr="00D908C6">
        <w:rPr>
          <w:rFonts w:cstheme="minorHAnsi"/>
          <w:sz w:val="24"/>
          <w:szCs w:val="24"/>
        </w:rPr>
        <w:t>BrocheriouI</w:t>
      </w:r>
      <w:proofErr w:type="spellEnd"/>
      <w:r w:rsidR="00E85834" w:rsidRPr="00D908C6">
        <w:rPr>
          <w:rFonts w:cstheme="minorHAnsi"/>
          <w:sz w:val="24"/>
          <w:szCs w:val="24"/>
        </w:rPr>
        <w:t xml:space="preserve">, </w:t>
      </w:r>
      <w:proofErr w:type="spellStart"/>
      <w:r w:rsidR="00E85834" w:rsidRPr="00D908C6">
        <w:rPr>
          <w:rFonts w:cstheme="minorHAnsi"/>
          <w:sz w:val="24"/>
          <w:szCs w:val="24"/>
        </w:rPr>
        <w:t>Beaufils</w:t>
      </w:r>
      <w:proofErr w:type="spellEnd"/>
      <w:r w:rsidR="00E85834" w:rsidRPr="00D908C6">
        <w:rPr>
          <w:rFonts w:cstheme="minorHAnsi"/>
          <w:sz w:val="24"/>
          <w:szCs w:val="24"/>
        </w:rPr>
        <w:t xml:space="preserve"> H, </w:t>
      </w:r>
      <w:proofErr w:type="spellStart"/>
      <w:r w:rsidR="00E85834" w:rsidRPr="00D908C6">
        <w:rPr>
          <w:rFonts w:cstheme="minorHAnsi"/>
          <w:sz w:val="24"/>
          <w:szCs w:val="24"/>
        </w:rPr>
        <w:t>Piette</w:t>
      </w:r>
      <w:proofErr w:type="spellEnd"/>
      <w:r w:rsidR="00E85834" w:rsidRPr="00D908C6">
        <w:rPr>
          <w:rFonts w:cstheme="minorHAnsi"/>
          <w:sz w:val="24"/>
          <w:szCs w:val="24"/>
        </w:rPr>
        <w:t xml:space="preserve"> JC. </w:t>
      </w:r>
      <w:proofErr w:type="gramStart"/>
      <w:r w:rsidR="00E85834" w:rsidRPr="00D908C6">
        <w:rPr>
          <w:rFonts w:cstheme="minorHAnsi"/>
          <w:sz w:val="24"/>
          <w:szCs w:val="24"/>
        </w:rPr>
        <w:t xml:space="preserve">Collapsing </w:t>
      </w:r>
      <w:proofErr w:type="spellStart"/>
      <w:r w:rsidR="00E85834" w:rsidRPr="00D908C6">
        <w:rPr>
          <w:rFonts w:cstheme="minorHAnsi"/>
          <w:sz w:val="24"/>
          <w:szCs w:val="24"/>
        </w:rPr>
        <w:t>Glomerulopathy</w:t>
      </w:r>
      <w:proofErr w:type="spellEnd"/>
      <w:r w:rsidR="00E85834" w:rsidRPr="00D908C6">
        <w:rPr>
          <w:rFonts w:cstheme="minorHAnsi"/>
          <w:sz w:val="24"/>
          <w:szCs w:val="24"/>
        </w:rPr>
        <w:t xml:space="preserve"> in systemic autoimmune disorders: a case occurring in the course of   full blown Systemic Lupus </w:t>
      </w:r>
      <w:proofErr w:type="spellStart"/>
      <w:r w:rsidR="00E85834" w:rsidRPr="00D908C6">
        <w:rPr>
          <w:rFonts w:cstheme="minorHAnsi"/>
          <w:sz w:val="24"/>
          <w:szCs w:val="24"/>
        </w:rPr>
        <w:t>Erythematosus</w:t>
      </w:r>
      <w:proofErr w:type="spellEnd"/>
      <w:r w:rsidR="00E85834" w:rsidRPr="00D908C6">
        <w:rPr>
          <w:rFonts w:cstheme="minorHAnsi"/>
          <w:sz w:val="24"/>
          <w:szCs w:val="24"/>
        </w:rPr>
        <w:t>.</w:t>
      </w:r>
      <w:proofErr w:type="gramEnd"/>
      <w:r w:rsidR="00E85834" w:rsidRPr="00D908C6">
        <w:rPr>
          <w:rFonts w:cstheme="minorHAnsi"/>
          <w:sz w:val="24"/>
          <w:szCs w:val="24"/>
        </w:rPr>
        <w:t xml:space="preserve"> </w:t>
      </w:r>
      <w:proofErr w:type="spellStart"/>
      <w:proofErr w:type="gramStart"/>
      <w:r w:rsidR="00E85834" w:rsidRPr="00D908C6">
        <w:rPr>
          <w:rFonts w:cstheme="minorHAnsi"/>
          <w:sz w:val="24"/>
          <w:szCs w:val="24"/>
        </w:rPr>
        <w:t>Annal</w:t>
      </w:r>
      <w:proofErr w:type="spellEnd"/>
      <w:r w:rsidR="00E85834" w:rsidRPr="00D908C6">
        <w:rPr>
          <w:rFonts w:cstheme="minorHAnsi"/>
          <w:sz w:val="24"/>
          <w:szCs w:val="24"/>
        </w:rPr>
        <w:t xml:space="preserve"> Rheum Dis. 2006; 65: 277-8.</w:t>
      </w:r>
      <w:proofErr w:type="gramEnd"/>
    </w:p>
    <w:p w:rsidR="001366BC" w:rsidRPr="00D908C6" w:rsidRDefault="001366BC" w:rsidP="00756524">
      <w:pPr>
        <w:spacing w:line="240" w:lineRule="auto"/>
        <w:rPr>
          <w:rFonts w:cstheme="minorHAnsi"/>
          <w:sz w:val="24"/>
          <w:szCs w:val="24"/>
        </w:rPr>
      </w:pPr>
    </w:p>
    <w:sectPr w:rsidR="001366BC" w:rsidRPr="00D908C6" w:rsidSect="0010526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263" w:rsidRDefault="00105263">
      <w:pPr>
        <w:spacing w:after="0" w:line="240" w:lineRule="auto"/>
      </w:pPr>
      <w:r>
        <w:separator/>
      </w:r>
    </w:p>
  </w:endnote>
  <w:endnote w:type="continuationSeparator" w:id="0">
    <w:p w:rsidR="00105263" w:rsidRDefault="0010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559719"/>
      <w:docPartObj>
        <w:docPartGallery w:val="Page Numbers (Bottom of Page)"/>
        <w:docPartUnique/>
      </w:docPartObj>
    </w:sdtPr>
    <w:sdtEndPr>
      <w:rPr>
        <w:noProof/>
      </w:rPr>
    </w:sdtEndPr>
    <w:sdtContent>
      <w:p w:rsidR="00105263" w:rsidRDefault="00105263">
        <w:pPr>
          <w:pStyle w:val="Footer"/>
          <w:jc w:val="center"/>
        </w:pPr>
        <w:r>
          <w:fldChar w:fldCharType="begin"/>
        </w:r>
        <w:r>
          <w:instrText xml:space="preserve"> PAGE   \* MERGEFORMAT </w:instrText>
        </w:r>
        <w:r>
          <w:fldChar w:fldCharType="separate"/>
        </w:r>
        <w:r w:rsidR="00A32DB0">
          <w:rPr>
            <w:noProof/>
          </w:rPr>
          <w:t>9</w:t>
        </w:r>
        <w:r>
          <w:rPr>
            <w:noProof/>
          </w:rPr>
          <w:fldChar w:fldCharType="end"/>
        </w:r>
      </w:p>
    </w:sdtContent>
  </w:sdt>
  <w:p w:rsidR="00105263" w:rsidRDefault="00105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263" w:rsidRDefault="00105263">
      <w:pPr>
        <w:spacing w:after="0" w:line="240" w:lineRule="auto"/>
      </w:pPr>
      <w:r>
        <w:separator/>
      </w:r>
    </w:p>
  </w:footnote>
  <w:footnote w:type="continuationSeparator" w:id="0">
    <w:p w:rsidR="00105263" w:rsidRDefault="001052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34"/>
    <w:rsid w:val="00030355"/>
    <w:rsid w:val="000523AA"/>
    <w:rsid w:val="0005563A"/>
    <w:rsid w:val="00074680"/>
    <w:rsid w:val="000A673F"/>
    <w:rsid w:val="000B117E"/>
    <w:rsid w:val="000C763D"/>
    <w:rsid w:val="000F7A38"/>
    <w:rsid w:val="00105263"/>
    <w:rsid w:val="00117D2B"/>
    <w:rsid w:val="001366BC"/>
    <w:rsid w:val="001770C4"/>
    <w:rsid w:val="0018425C"/>
    <w:rsid w:val="001D7E41"/>
    <w:rsid w:val="00205F81"/>
    <w:rsid w:val="00213C01"/>
    <w:rsid w:val="00235A6A"/>
    <w:rsid w:val="00254D2C"/>
    <w:rsid w:val="002874AF"/>
    <w:rsid w:val="00327774"/>
    <w:rsid w:val="00333F3C"/>
    <w:rsid w:val="003651FD"/>
    <w:rsid w:val="00372589"/>
    <w:rsid w:val="003800D0"/>
    <w:rsid w:val="00383CFE"/>
    <w:rsid w:val="0039660B"/>
    <w:rsid w:val="003D6800"/>
    <w:rsid w:val="003E3A47"/>
    <w:rsid w:val="00416884"/>
    <w:rsid w:val="00432334"/>
    <w:rsid w:val="00440A1A"/>
    <w:rsid w:val="0045283D"/>
    <w:rsid w:val="004620A4"/>
    <w:rsid w:val="004645FC"/>
    <w:rsid w:val="00467252"/>
    <w:rsid w:val="00493B57"/>
    <w:rsid w:val="00494181"/>
    <w:rsid w:val="00496DE1"/>
    <w:rsid w:val="004A04E5"/>
    <w:rsid w:val="004A771A"/>
    <w:rsid w:val="004B0E36"/>
    <w:rsid w:val="004B14A7"/>
    <w:rsid w:val="004B6FED"/>
    <w:rsid w:val="004C2BED"/>
    <w:rsid w:val="004E3E4D"/>
    <w:rsid w:val="004F58EA"/>
    <w:rsid w:val="00514AF8"/>
    <w:rsid w:val="00515A55"/>
    <w:rsid w:val="0055290C"/>
    <w:rsid w:val="00575D84"/>
    <w:rsid w:val="005D70FC"/>
    <w:rsid w:val="005E62C2"/>
    <w:rsid w:val="005F4AED"/>
    <w:rsid w:val="005F618E"/>
    <w:rsid w:val="0061551B"/>
    <w:rsid w:val="0063133F"/>
    <w:rsid w:val="00646B15"/>
    <w:rsid w:val="00663827"/>
    <w:rsid w:val="006934B0"/>
    <w:rsid w:val="006A0DA5"/>
    <w:rsid w:val="006A7F70"/>
    <w:rsid w:val="006E5A4A"/>
    <w:rsid w:val="006F4906"/>
    <w:rsid w:val="007500D7"/>
    <w:rsid w:val="00756524"/>
    <w:rsid w:val="00766627"/>
    <w:rsid w:val="00766910"/>
    <w:rsid w:val="00770305"/>
    <w:rsid w:val="007A73D5"/>
    <w:rsid w:val="007D0335"/>
    <w:rsid w:val="00810E5C"/>
    <w:rsid w:val="00845E07"/>
    <w:rsid w:val="008470C8"/>
    <w:rsid w:val="0087706C"/>
    <w:rsid w:val="008B6DA0"/>
    <w:rsid w:val="008C2ECD"/>
    <w:rsid w:val="008F2A15"/>
    <w:rsid w:val="008F6E8F"/>
    <w:rsid w:val="009261F0"/>
    <w:rsid w:val="0093205B"/>
    <w:rsid w:val="009762E7"/>
    <w:rsid w:val="00987A1D"/>
    <w:rsid w:val="00995205"/>
    <w:rsid w:val="009A00B2"/>
    <w:rsid w:val="009A3BED"/>
    <w:rsid w:val="009B3AAC"/>
    <w:rsid w:val="009B4696"/>
    <w:rsid w:val="009B5550"/>
    <w:rsid w:val="009E1C95"/>
    <w:rsid w:val="00A076AE"/>
    <w:rsid w:val="00A2120F"/>
    <w:rsid w:val="00A32DB0"/>
    <w:rsid w:val="00A35F35"/>
    <w:rsid w:val="00A4738B"/>
    <w:rsid w:val="00A50CB4"/>
    <w:rsid w:val="00A756AF"/>
    <w:rsid w:val="00A82E1A"/>
    <w:rsid w:val="00A93197"/>
    <w:rsid w:val="00AA46D9"/>
    <w:rsid w:val="00AA480E"/>
    <w:rsid w:val="00AE0D94"/>
    <w:rsid w:val="00AF730E"/>
    <w:rsid w:val="00B3420B"/>
    <w:rsid w:val="00B83AC2"/>
    <w:rsid w:val="00B924C1"/>
    <w:rsid w:val="00BA24A7"/>
    <w:rsid w:val="00BC0E31"/>
    <w:rsid w:val="00BC1E74"/>
    <w:rsid w:val="00BC2F5B"/>
    <w:rsid w:val="00BD7EC1"/>
    <w:rsid w:val="00BF4BEA"/>
    <w:rsid w:val="00BF6D72"/>
    <w:rsid w:val="00C11B47"/>
    <w:rsid w:val="00C24EB6"/>
    <w:rsid w:val="00C3096F"/>
    <w:rsid w:val="00C43EA2"/>
    <w:rsid w:val="00C56D6C"/>
    <w:rsid w:val="00C6558F"/>
    <w:rsid w:val="00C706A6"/>
    <w:rsid w:val="00C87D06"/>
    <w:rsid w:val="00C9613B"/>
    <w:rsid w:val="00CB2C61"/>
    <w:rsid w:val="00D07D8F"/>
    <w:rsid w:val="00D26B21"/>
    <w:rsid w:val="00D53EA1"/>
    <w:rsid w:val="00D749BF"/>
    <w:rsid w:val="00D87D0F"/>
    <w:rsid w:val="00D908C6"/>
    <w:rsid w:val="00D947CF"/>
    <w:rsid w:val="00DB433C"/>
    <w:rsid w:val="00DD4DDE"/>
    <w:rsid w:val="00DE1E46"/>
    <w:rsid w:val="00DE417A"/>
    <w:rsid w:val="00E24999"/>
    <w:rsid w:val="00E254AA"/>
    <w:rsid w:val="00E85834"/>
    <w:rsid w:val="00E86EF9"/>
    <w:rsid w:val="00EB00A0"/>
    <w:rsid w:val="00EC5513"/>
    <w:rsid w:val="00F104D7"/>
    <w:rsid w:val="00F1587D"/>
    <w:rsid w:val="00F277A8"/>
    <w:rsid w:val="00F33820"/>
    <w:rsid w:val="00F453F4"/>
    <w:rsid w:val="00F52174"/>
    <w:rsid w:val="00F52E38"/>
    <w:rsid w:val="00F76854"/>
    <w:rsid w:val="00FA0A4D"/>
    <w:rsid w:val="00FF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834"/>
    <w:pPr>
      <w:spacing w:after="160" w:line="259"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83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85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34"/>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E85834"/>
    <w:rPr>
      <w:color w:val="0000FF" w:themeColor="hyperlink"/>
      <w:u w:val="single"/>
    </w:rPr>
  </w:style>
  <w:style w:type="paragraph" w:styleId="NoSpacing">
    <w:name w:val="No Spacing"/>
    <w:uiPriority w:val="1"/>
    <w:qFormat/>
    <w:rsid w:val="00E85834"/>
    <w:rPr>
      <w:rFonts w:asciiTheme="minorHAnsi" w:eastAsiaTheme="minorHAnsi" w:hAnsiTheme="minorHAnsi" w:cstheme="minorBidi"/>
      <w:sz w:val="22"/>
      <w:szCs w:val="22"/>
      <w:lang w:val="en-GB"/>
    </w:rPr>
  </w:style>
  <w:style w:type="paragraph" w:styleId="BalloonText">
    <w:name w:val="Balloon Text"/>
    <w:basedOn w:val="Normal"/>
    <w:link w:val="BalloonTextChar"/>
    <w:rsid w:val="00D07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D8F"/>
    <w:rPr>
      <w:rFonts w:ascii="Tahoma" w:eastAsiaTheme="minorHAnsi" w:hAnsi="Tahoma" w:cs="Tahoma"/>
      <w:sz w:val="16"/>
      <w:szCs w:val="16"/>
      <w:lang w:val="en-GB"/>
    </w:rPr>
  </w:style>
  <w:style w:type="paragraph" w:styleId="Header">
    <w:name w:val="header"/>
    <w:basedOn w:val="Normal"/>
    <w:link w:val="HeaderChar"/>
    <w:rsid w:val="00D908C6"/>
    <w:pPr>
      <w:tabs>
        <w:tab w:val="center" w:pos="4680"/>
        <w:tab w:val="right" w:pos="9360"/>
      </w:tabs>
      <w:spacing w:after="0" w:line="240" w:lineRule="auto"/>
    </w:pPr>
  </w:style>
  <w:style w:type="character" w:customStyle="1" w:styleId="HeaderChar">
    <w:name w:val="Header Char"/>
    <w:basedOn w:val="DefaultParagraphFont"/>
    <w:link w:val="Header"/>
    <w:rsid w:val="00D908C6"/>
    <w:rPr>
      <w:rFonts w:asciiTheme="minorHAnsi" w:eastAsiaTheme="minorHAnsi" w:hAnsiTheme="minorHAnsi" w:cstheme="minorBid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834"/>
    <w:pPr>
      <w:spacing w:after="160" w:line="259"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83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85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34"/>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E85834"/>
    <w:rPr>
      <w:color w:val="0000FF" w:themeColor="hyperlink"/>
      <w:u w:val="single"/>
    </w:rPr>
  </w:style>
  <w:style w:type="paragraph" w:styleId="NoSpacing">
    <w:name w:val="No Spacing"/>
    <w:uiPriority w:val="1"/>
    <w:qFormat/>
    <w:rsid w:val="00E85834"/>
    <w:rPr>
      <w:rFonts w:asciiTheme="minorHAnsi" w:eastAsiaTheme="minorHAnsi" w:hAnsiTheme="minorHAnsi" w:cstheme="minorBidi"/>
      <w:sz w:val="22"/>
      <w:szCs w:val="22"/>
      <w:lang w:val="en-GB"/>
    </w:rPr>
  </w:style>
  <w:style w:type="paragraph" w:styleId="BalloonText">
    <w:name w:val="Balloon Text"/>
    <w:basedOn w:val="Normal"/>
    <w:link w:val="BalloonTextChar"/>
    <w:rsid w:val="00D07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07D8F"/>
    <w:rPr>
      <w:rFonts w:ascii="Tahoma" w:eastAsiaTheme="minorHAnsi" w:hAnsi="Tahoma" w:cs="Tahoma"/>
      <w:sz w:val="16"/>
      <w:szCs w:val="16"/>
      <w:lang w:val="en-GB"/>
    </w:rPr>
  </w:style>
  <w:style w:type="paragraph" w:styleId="Header">
    <w:name w:val="header"/>
    <w:basedOn w:val="Normal"/>
    <w:link w:val="HeaderChar"/>
    <w:rsid w:val="00D908C6"/>
    <w:pPr>
      <w:tabs>
        <w:tab w:val="center" w:pos="4680"/>
        <w:tab w:val="right" w:pos="9360"/>
      </w:tabs>
      <w:spacing w:after="0" w:line="240" w:lineRule="auto"/>
    </w:pPr>
  </w:style>
  <w:style w:type="character" w:customStyle="1" w:styleId="HeaderChar">
    <w:name w:val="Header Char"/>
    <w:basedOn w:val="DefaultParagraphFont"/>
    <w:link w:val="Header"/>
    <w:rsid w:val="00D908C6"/>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Christopherobiorah@yaho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M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[MED.xlsx]pivot!PivotTable2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4"/>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a:noFill/>
          </a:ln>
          <a:effectLst/>
        </c:spPr>
        <c:marker>
          <c:symbol val="none"/>
        </c:marker>
      </c:pivotFmt>
      <c:pivotFmt>
        <c:idx val="70"/>
        <c:spPr>
          <a:solidFill>
            <a:schemeClr val="accent1"/>
          </a:solidFill>
          <a:ln>
            <a:noFill/>
          </a:ln>
          <a:effectLst/>
        </c:spPr>
        <c:marker>
          <c:symbol val="none"/>
        </c:marker>
      </c:pivotFmt>
      <c:pivotFmt>
        <c:idx val="71"/>
        <c:spPr>
          <a:solidFill>
            <a:schemeClr val="accent1"/>
          </a:solidFill>
          <a:ln>
            <a:noFill/>
          </a:ln>
          <a:effectLst/>
        </c:spPr>
        <c:marker>
          <c:symbol val="none"/>
        </c:marker>
      </c:pivotFmt>
      <c:pivotFmt>
        <c:idx val="72"/>
        <c:spPr>
          <a:solidFill>
            <a:schemeClr val="accent1"/>
          </a:solidFill>
          <a:ln>
            <a:noFill/>
          </a:ln>
          <a:effectLst/>
        </c:spPr>
        <c:marker>
          <c:symbol val="none"/>
        </c:marker>
      </c:pivotFmt>
      <c:pivotFmt>
        <c:idx val="73"/>
        <c:spPr>
          <a:solidFill>
            <a:schemeClr val="accent1"/>
          </a:solidFill>
          <a:ln>
            <a:noFill/>
          </a:ln>
          <a:effectLst/>
        </c:spPr>
        <c:marker>
          <c:symbol val="none"/>
        </c:marker>
      </c:pivotFmt>
      <c:pivotFmt>
        <c:idx val="74"/>
        <c:spPr>
          <a:solidFill>
            <a:schemeClr val="accent1"/>
          </a:solidFill>
          <a:ln>
            <a:noFill/>
          </a:ln>
          <a:effectLst/>
        </c:spPr>
        <c:marker>
          <c:symbol val="none"/>
        </c:marker>
      </c:pivotFmt>
      <c:pivotFmt>
        <c:idx val="75"/>
        <c:spPr>
          <a:solidFill>
            <a:schemeClr val="accent1"/>
          </a:solidFill>
          <a:ln>
            <a:noFill/>
          </a:ln>
          <a:effectLst/>
        </c:spPr>
        <c:marker>
          <c:symbol val="none"/>
        </c:marker>
      </c:pivotFmt>
      <c:pivotFmt>
        <c:idx val="76"/>
        <c:spPr>
          <a:solidFill>
            <a:schemeClr val="accent1"/>
          </a:solidFill>
          <a:ln>
            <a:noFill/>
          </a:ln>
          <a:effectLst/>
        </c:spPr>
        <c:marker>
          <c:symbol val="none"/>
        </c:marker>
      </c:pivotFmt>
      <c:pivotFmt>
        <c:idx val="77"/>
        <c:spPr>
          <a:solidFill>
            <a:schemeClr val="accent1"/>
          </a:solidFill>
          <a:ln>
            <a:noFill/>
          </a:ln>
          <a:effectLst/>
        </c:spPr>
        <c:marker>
          <c:symbol val="none"/>
        </c:marker>
      </c:pivotFmt>
      <c:pivotFmt>
        <c:idx val="78"/>
        <c:spPr>
          <a:solidFill>
            <a:schemeClr val="accent1"/>
          </a:solidFill>
          <a:ln>
            <a:noFill/>
          </a:ln>
          <a:effectLst/>
        </c:spPr>
        <c:marker>
          <c:symbol val="none"/>
        </c:marker>
      </c:pivotFmt>
      <c:pivotFmt>
        <c:idx val="79"/>
        <c:spPr>
          <a:solidFill>
            <a:schemeClr val="accent1"/>
          </a:solidFill>
          <a:ln>
            <a:noFill/>
          </a:ln>
          <a:effectLst/>
        </c:spPr>
        <c:marker>
          <c:symbol val="none"/>
        </c:marker>
      </c:pivotFmt>
      <c:pivotFmt>
        <c:idx val="80"/>
        <c:spPr>
          <a:solidFill>
            <a:schemeClr val="accent1"/>
          </a:solidFill>
          <a:ln>
            <a:noFill/>
          </a:ln>
          <a:effectLst/>
        </c:spPr>
        <c:marker>
          <c:symbol val="none"/>
        </c:marker>
      </c:pivotFmt>
      <c:pivotFmt>
        <c:idx val="81"/>
        <c:spPr>
          <a:solidFill>
            <a:schemeClr val="accent1"/>
          </a:solidFill>
          <a:ln>
            <a:noFill/>
          </a:ln>
          <a:effectLst/>
        </c:spPr>
        <c:marker>
          <c:symbol val="none"/>
        </c:marker>
      </c:pivotFmt>
      <c:pivotFmt>
        <c:idx val="82"/>
        <c:spPr>
          <a:solidFill>
            <a:schemeClr val="accent1"/>
          </a:solidFill>
          <a:ln>
            <a:noFill/>
          </a:ln>
          <a:effectLst/>
        </c:spPr>
        <c:marker>
          <c:symbol val="none"/>
        </c:marker>
      </c:pivotFmt>
      <c:pivotFmt>
        <c:idx val="83"/>
        <c:spPr>
          <a:solidFill>
            <a:schemeClr val="accent1"/>
          </a:solidFill>
          <a:ln>
            <a:noFill/>
          </a:ln>
          <a:effectLst/>
        </c:spPr>
        <c:marker>
          <c:symbol val="none"/>
        </c:marker>
      </c:pivotFmt>
      <c:pivotFmt>
        <c:idx val="84"/>
        <c:spPr>
          <a:solidFill>
            <a:schemeClr val="accent1"/>
          </a:solidFill>
          <a:ln>
            <a:noFill/>
          </a:ln>
          <a:effectLst/>
        </c:spPr>
        <c:marker>
          <c:symbol val="none"/>
        </c:marker>
      </c:pivotFmt>
      <c:pivotFmt>
        <c:idx val="85"/>
        <c:spPr>
          <a:solidFill>
            <a:schemeClr val="accent1"/>
          </a:solidFill>
          <a:ln>
            <a:noFill/>
          </a:ln>
          <a:effectLst/>
        </c:spPr>
        <c:marker>
          <c:symbol val="none"/>
        </c:marker>
      </c:pivotFmt>
      <c:pivotFmt>
        <c:idx val="86"/>
        <c:spPr>
          <a:solidFill>
            <a:schemeClr val="accent1"/>
          </a:solidFill>
          <a:ln>
            <a:noFill/>
          </a:ln>
          <a:effectLst/>
        </c:spPr>
        <c:marker>
          <c:symbol val="none"/>
        </c:marker>
      </c:pivotFmt>
      <c:pivotFmt>
        <c:idx val="87"/>
        <c:spPr>
          <a:solidFill>
            <a:schemeClr val="accent1"/>
          </a:solidFill>
          <a:ln>
            <a:noFill/>
          </a:ln>
          <a:effectLst/>
        </c:spPr>
        <c:marker>
          <c:symbol val="none"/>
        </c:marker>
      </c:pivotFmt>
      <c:pivotFmt>
        <c:idx val="88"/>
        <c:spPr>
          <a:solidFill>
            <a:schemeClr val="accent1"/>
          </a:solidFill>
          <a:ln>
            <a:noFill/>
          </a:ln>
          <a:effectLst/>
        </c:spPr>
        <c:marker>
          <c:symbol val="none"/>
        </c:marker>
      </c:pivotFmt>
      <c:pivotFmt>
        <c:idx val="89"/>
        <c:spPr>
          <a:solidFill>
            <a:schemeClr val="accent1"/>
          </a:solidFill>
          <a:ln>
            <a:noFill/>
          </a:ln>
          <a:effectLst/>
        </c:spPr>
        <c:marker>
          <c:symbol val="none"/>
        </c:marker>
      </c:pivotFmt>
      <c:pivotFmt>
        <c:idx val="90"/>
        <c:spPr>
          <a:solidFill>
            <a:schemeClr val="accent1"/>
          </a:solidFill>
          <a:ln>
            <a:noFill/>
          </a:ln>
          <a:effectLst/>
        </c:spPr>
        <c:marker>
          <c:symbol val="none"/>
        </c:marker>
      </c:pivotFmt>
      <c:pivotFmt>
        <c:idx val="91"/>
        <c:spPr>
          <a:solidFill>
            <a:schemeClr val="accent1"/>
          </a:solidFill>
          <a:ln>
            <a:noFill/>
          </a:ln>
          <a:effectLst/>
        </c:spPr>
        <c:marker>
          <c:symbol val="none"/>
        </c:marker>
      </c:pivotFmt>
      <c:pivotFmt>
        <c:idx val="92"/>
        <c:spPr>
          <a:solidFill>
            <a:schemeClr val="accent1"/>
          </a:solidFill>
          <a:ln>
            <a:noFill/>
          </a:ln>
          <a:effectLst/>
        </c:spPr>
        <c:marker>
          <c:symbol val="none"/>
        </c:marker>
      </c:pivotFmt>
      <c:pivotFmt>
        <c:idx val="93"/>
        <c:spPr>
          <a:solidFill>
            <a:schemeClr val="accent1"/>
          </a:solidFill>
          <a:ln>
            <a:noFill/>
          </a:ln>
          <a:effectLst/>
        </c:spPr>
        <c:marker>
          <c:symbol val="none"/>
        </c:marker>
      </c:pivotFmt>
    </c:pivotFmts>
    <c:plotArea>
      <c:layout/>
      <c:barChart>
        <c:barDir val="col"/>
        <c:grouping val="clustered"/>
        <c:varyColors val="0"/>
        <c:ser>
          <c:idx val="0"/>
          <c:order val="0"/>
          <c:tx>
            <c:strRef>
              <c:f>pivot!$B$3:$B$4</c:f>
              <c:strCache>
                <c:ptCount val="1"/>
                <c:pt idx="0">
                  <c:v>SDNS</c:v>
                </c:pt>
              </c:strCache>
            </c:strRef>
          </c:tx>
          <c:spPr>
            <a:solidFill>
              <a:schemeClr val="accent1"/>
            </a:solidFill>
            <a:ln>
              <a:noFill/>
            </a:ln>
            <a:effectLst/>
          </c:spPr>
          <c:invertIfNegative val="0"/>
          <c:cat>
            <c:strRef>
              <c:f>pivot!$A$5:$A$9</c:f>
              <c:strCache>
                <c:ptCount val="4"/>
                <c:pt idx="0">
                  <c:v>0-5yrs</c:v>
                </c:pt>
                <c:pt idx="1">
                  <c:v>6-10yrs</c:v>
                </c:pt>
                <c:pt idx="2">
                  <c:v>11-15yrs</c:v>
                </c:pt>
                <c:pt idx="3">
                  <c:v>&gt;15yrs</c:v>
                </c:pt>
              </c:strCache>
            </c:strRef>
          </c:cat>
          <c:val>
            <c:numRef>
              <c:f>pivot!$B$5:$B$9</c:f>
              <c:numCache>
                <c:formatCode>General</c:formatCode>
                <c:ptCount val="4"/>
                <c:pt idx="0">
                  <c:v>3</c:v>
                </c:pt>
                <c:pt idx="1">
                  <c:v>2</c:v>
                </c:pt>
                <c:pt idx="2">
                  <c:v>1</c:v>
                </c:pt>
                <c:pt idx="3">
                  <c:v>5</c:v>
                </c:pt>
              </c:numCache>
            </c:numRef>
          </c:val>
          <c:extLst xmlns:c16r2="http://schemas.microsoft.com/office/drawing/2015/06/chart">
            <c:ext xmlns:c16="http://schemas.microsoft.com/office/drawing/2014/chart" uri="{C3380CC4-5D6E-409C-BE32-E72D297353CC}">
              <c16:uniqueId val="{00000000-050D-4BBE-9EEA-914947C281A8}"/>
            </c:ext>
          </c:extLst>
        </c:ser>
        <c:ser>
          <c:idx val="1"/>
          <c:order val="1"/>
          <c:tx>
            <c:strRef>
              <c:f>pivot!$C$3:$C$4</c:f>
              <c:strCache>
                <c:ptCount val="1"/>
                <c:pt idx="0">
                  <c:v>SRNS</c:v>
                </c:pt>
              </c:strCache>
            </c:strRef>
          </c:tx>
          <c:spPr>
            <a:solidFill>
              <a:schemeClr val="accent2"/>
            </a:solidFill>
            <a:ln>
              <a:noFill/>
            </a:ln>
            <a:effectLst/>
          </c:spPr>
          <c:invertIfNegative val="0"/>
          <c:cat>
            <c:strRef>
              <c:f>pivot!$A$5:$A$9</c:f>
              <c:strCache>
                <c:ptCount val="4"/>
                <c:pt idx="0">
                  <c:v>0-5yrs</c:v>
                </c:pt>
                <c:pt idx="1">
                  <c:v>6-10yrs</c:v>
                </c:pt>
                <c:pt idx="2">
                  <c:v>11-15yrs</c:v>
                </c:pt>
                <c:pt idx="3">
                  <c:v>&gt;15yrs</c:v>
                </c:pt>
              </c:strCache>
            </c:strRef>
          </c:cat>
          <c:val>
            <c:numRef>
              <c:f>pivot!$C$5:$C$9</c:f>
              <c:numCache>
                <c:formatCode>General</c:formatCode>
                <c:ptCount val="4"/>
                <c:pt idx="0">
                  <c:v>2</c:v>
                </c:pt>
                <c:pt idx="1">
                  <c:v>2</c:v>
                </c:pt>
                <c:pt idx="2">
                  <c:v>2</c:v>
                </c:pt>
                <c:pt idx="3">
                  <c:v>2</c:v>
                </c:pt>
              </c:numCache>
            </c:numRef>
          </c:val>
          <c:extLst xmlns:c16r2="http://schemas.microsoft.com/office/drawing/2015/06/chart">
            <c:ext xmlns:c16="http://schemas.microsoft.com/office/drawing/2014/chart" uri="{C3380CC4-5D6E-409C-BE32-E72D297353CC}">
              <c16:uniqueId val="{00000001-050D-4BBE-9EEA-914947C281A8}"/>
            </c:ext>
          </c:extLst>
        </c:ser>
        <c:dLbls>
          <c:showLegendKey val="0"/>
          <c:showVal val="0"/>
          <c:showCatName val="0"/>
          <c:showSerName val="0"/>
          <c:showPercent val="0"/>
          <c:showBubbleSize val="0"/>
        </c:dLbls>
        <c:gapWidth val="219"/>
        <c:overlap val="-27"/>
        <c:axId val="55524352"/>
        <c:axId val="55546624"/>
      </c:barChart>
      <c:catAx>
        <c:axId val="5552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46624"/>
        <c:crosses val="autoZero"/>
        <c:auto val="1"/>
        <c:lblAlgn val="ctr"/>
        <c:lblOffset val="100"/>
        <c:noMultiLvlLbl val="0"/>
      </c:catAx>
      <c:valAx>
        <c:axId val="555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2435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Indications</a:t>
            </a:r>
            <a:r>
              <a:rPr lang="en-GB" baseline="0"/>
              <a:t> for nephrotic syndrome</a:t>
            </a:r>
            <a:endParaRPr lang="en-GB"/>
          </a:p>
        </c:rich>
      </c:tx>
      <c:layout/>
      <c:overlay val="0"/>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913-4650-A18D-77A22A4DDA8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913-4650-A18D-77A22A4DDA81}"/>
              </c:ext>
            </c:extLst>
          </c:dPt>
          <c:dLbls>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dLbls>
          <c:cat>
            <c:strRef>
              <c:f>Sheet10!$C$132:$D$132</c:f>
              <c:strCache>
                <c:ptCount val="2"/>
                <c:pt idx="0">
                  <c:v>SDNS</c:v>
                </c:pt>
                <c:pt idx="1">
                  <c:v>SRNS</c:v>
                </c:pt>
              </c:strCache>
            </c:strRef>
          </c:cat>
          <c:val>
            <c:numRef>
              <c:f>Sheet10!$C$133:$D$133</c:f>
              <c:numCache>
                <c:formatCode>General</c:formatCode>
                <c:ptCount val="2"/>
                <c:pt idx="0">
                  <c:v>11</c:v>
                </c:pt>
                <c:pt idx="1">
                  <c:v>8</c:v>
                </c:pt>
              </c:numCache>
            </c:numRef>
          </c:val>
          <c:extLst xmlns:c16r2="http://schemas.microsoft.com/office/drawing/2015/06/chart">
            <c:ext xmlns:c16="http://schemas.microsoft.com/office/drawing/2014/chart" uri="{C3380CC4-5D6E-409C-BE32-E72D297353CC}">
              <c16:uniqueId val="{00000004-2913-4650-A18D-77A22A4DDA81}"/>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17</Pages>
  <Words>4879</Words>
  <Characters>27750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AGS</Company>
  <LinksUpToDate>false</LinksUpToDate>
  <CharactersWithSpaces>32564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dc:creator>
  <cp:keywords/>
  <dc:description/>
  <cp:lastModifiedBy>DR OBIORAH</cp:lastModifiedBy>
  <cp:revision>38</cp:revision>
  <cp:lastPrinted>2017-05-26T07:29:00Z</cp:lastPrinted>
  <dcterms:created xsi:type="dcterms:W3CDTF">2017-05-17T16:18:00Z</dcterms:created>
  <dcterms:modified xsi:type="dcterms:W3CDTF">2017-05-31T08:25:00Z</dcterms:modified>
</cp:coreProperties>
</file>